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header1.xml.rels" ContentType="application/vnd.openxmlformats-package.relationships+xml"/>
  <Override PartName="/word/_rels/document.xml.rels" ContentType="application/vnd.openxmlformats-package.relationships+xml"/>
  <Override PartName="/word/document.xml" ContentType="application/vnd.openxmlformats-officedocument.wordprocessingml.document.main+xml"/>
  <Override PartName="/word/embeddings/oleObject1.bin" ContentType="application/vnd.openxmlformats-officedocument.oleObject"/>
  <Override PartName="/word/media/image1.wmf" ContentType="image/x-wmf"/>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_rels/.rels" ContentType="application/vnd.openxmlformats-package.relationships+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el"/>
        <w:spacing w:before="320" w:after="240"/>
        <w:contextualSpacing/>
        <w:rPr>
          <w:rFonts w:ascii="Calibri" w:hAnsi="Calibri" w:cs="Calibri"/>
        </w:rPr>
      </w:pPr>
      <w:r>
        <w:rPr>
          <w:rFonts w:cs="Calibri" w:ascii="Calibri" w:hAnsi="Calibri"/>
        </w:rPr>
        <w:t>MS-specific eIDAS Proxy-Service</w:t>
        <w:br/>
        <w:t>Konfiguration</w:t>
      </w:r>
    </w:p>
    <w:p>
      <w:pPr>
        <w:pStyle w:val="Normal"/>
        <w:rPr>
          <w:rFonts w:ascii="Calibri" w:hAnsi="Calibri" w:eastAsia="Arial" w:cs="Calibri"/>
          <w:smallCaps/>
          <w:sz w:val="44"/>
          <w:szCs w:val="52"/>
          <w:lang w:val="de-AT"/>
        </w:rPr>
      </w:pPr>
      <w:r>
        <w:rPr>
          <w:rFonts w:eastAsia="Arial" w:cs="Calibri" w:ascii="Calibri" w:hAnsi="Calibri"/>
          <w:smallCaps/>
          <w:sz w:val="44"/>
          <w:szCs w:val="52"/>
          <w:lang w:val="de-AT"/>
        </w:rPr>
      </w:r>
    </w:p>
    <w:p>
      <w:pPr>
        <w:pStyle w:val="Autor"/>
        <w:rPr>
          <w:rFonts w:ascii="Calibri" w:hAnsi="Calibri" w:cs="Calibri"/>
        </w:rPr>
      </w:pPr>
      <w:r>
        <w:rPr>
          <w:rFonts w:cs="Calibri" w:ascii="Calibri" w:hAnsi="Calibri"/>
        </w:rPr>
        <w:t>Version 1.</w:t>
      </w:r>
      <w:r>
        <w:rPr>
          <w:rFonts w:cs="Calibri" w:ascii="Calibri" w:hAnsi="Calibri"/>
        </w:rPr>
        <w:t>1</w:t>
      </w:r>
      <w:r>
        <w:rPr>
          <w:rFonts w:cs="Calibri" w:ascii="Calibri" w:hAnsi="Calibri"/>
        </w:rPr>
        <w:t xml:space="preserve"> vom </w:t>
      </w:r>
      <w:r>
        <w:rPr>
          <w:rFonts w:cs="Calibri" w:ascii="Calibri" w:hAnsi="Calibri"/>
        </w:rPr>
        <w:t>30</w:t>
      </w:r>
      <w:r>
        <w:rPr>
          <w:rFonts w:cs="Calibri" w:ascii="Calibri" w:hAnsi="Calibri"/>
        </w:rPr>
        <w:t>.</w:t>
      </w:r>
      <w:r>
        <w:rPr>
          <w:rFonts w:cs="Calibri" w:ascii="Calibri" w:hAnsi="Calibri"/>
        </w:rPr>
        <w:t>11</w:t>
      </w:r>
      <w:r>
        <w:rPr>
          <w:rFonts w:cs="Calibri" w:ascii="Calibri" w:hAnsi="Calibri"/>
        </w:rPr>
        <w:t>.2022</w:t>
      </w:r>
    </w:p>
    <w:p>
      <w:pPr>
        <w:pStyle w:val="Autor"/>
        <w:rPr>
          <w:rFonts w:ascii="Calibri" w:hAnsi="Calibri" w:cs="Calibri"/>
        </w:rPr>
      </w:pPr>
      <w:r>
        <w:rPr>
          <w:rFonts w:cs="Calibri" w:ascii="Calibri" w:hAnsi="Calibri"/>
        </w:rPr>
        <w:t xml:space="preserve">Thomas Lenz – </w:t>
      </w:r>
      <w:hyperlink r:id="rId2" w:tgtFrame="mailto:thomas.lenz@egiz.gv.at">
        <w:r>
          <w:rPr>
            <w:rStyle w:val="Internetverknpfung"/>
            <w:rFonts w:cs="Calibri" w:ascii="Calibri" w:hAnsi="Calibri"/>
          </w:rPr>
          <w:t>thomas.lenz@egiz.gv.at</w:t>
        </w:r>
      </w:hyperlink>
    </w:p>
    <w:p>
      <w:pPr>
        <w:pStyle w:val="Autor"/>
        <w:rPr>
          <w:rFonts w:ascii="Calibri" w:hAnsi="Calibri" w:cs="Calibri"/>
          <w:color w:val="000000"/>
        </w:rPr>
      </w:pPr>
      <w:r>
        <w:rPr>
          <w:rFonts w:cs="Calibri" w:ascii="Calibri" w:hAnsi="Calibri"/>
          <w:color w:val="000000"/>
        </w:rPr>
        <w:t xml:space="preserve">Thomas Zefferer – </w:t>
      </w:r>
      <w:r>
        <w:rPr>
          <w:rStyle w:val="Internetverknpfung"/>
          <w:rFonts w:cs="Calibri" w:ascii="Calibri" w:hAnsi="Calibri"/>
        </w:rPr>
        <w:t>thomas.zefferer@a-sit.at</w:t>
      </w:r>
    </w:p>
    <w:p>
      <w:pPr>
        <w:pStyle w:val="Normal"/>
        <w:rPr>
          <w:rFonts w:ascii="Calibri" w:hAnsi="Calibri" w:cs="Calibri"/>
        </w:rPr>
      </w:pPr>
      <w:r>
        <w:rPr>
          <w:rFonts w:cs="Calibri" w:ascii="Calibri" w:hAnsi="Calibri"/>
        </w:rPr>
      </w:r>
    </w:p>
    <w:p>
      <w:pPr>
        <w:pStyle w:val="Normal"/>
        <w:rPr>
          <w:rFonts w:ascii="Calibri" w:hAnsi="Calibri" w:cs="Calibri"/>
          <w:sz w:val="22"/>
          <w:szCs w:val="22"/>
        </w:rPr>
      </w:pPr>
      <w:r>
        <w:rPr>
          <w:rFonts w:cs="Calibri" w:ascii="Calibri" w:hAnsi="Calibri"/>
          <w:sz w:val="22"/>
          <w:szCs w:val="22"/>
        </w:rPr>
      </w:r>
    </w:p>
    <w:p>
      <w:pPr>
        <w:pStyle w:val="Berschrift1"/>
        <w:numPr>
          <w:ilvl w:val="0"/>
          <w:numId w:val="0"/>
        </w:numPr>
        <w:ind w:left="0" w:hanging="0"/>
        <w:rPr>
          <w:rFonts w:ascii="Calibri" w:hAnsi="Calibri" w:cs="Calibri"/>
        </w:rPr>
      </w:pPr>
      <w:bookmarkStart w:id="0" w:name="_Toc1"/>
      <w:r>
        <w:rPr>
          <w:rFonts w:cs="Calibri" w:ascii="Calibri" w:hAnsi="Calibri"/>
        </w:rPr>
        <w:t>Inhaltsverzeichnis</w:t>
      </w:r>
      <w:bookmarkEnd w:id="0"/>
    </w:p>
    <w:sdt>
      <w:sdtPr>
        <w:docPartObj>
          <w:docPartGallery w:val="Table of Contents"/>
          <w:docPartUnique w:val="true"/>
        </w:docPartObj>
      </w:sdtPr>
      <w:sdtContent>
        <w:p>
          <w:pPr>
            <w:pStyle w:val="Inhaltsverzeichnis1"/>
            <w:tabs>
              <w:tab w:val="left" w:pos="567" w:leader="none"/>
              <w:tab w:val="left" w:pos="1134" w:leader="none"/>
              <w:tab w:val="right" w:pos="9072" w:leader="none"/>
              <w:tab w:val="right" w:pos="9638" w:leader="dot"/>
            </w:tabs>
            <w:rPr>
              <w:rFonts w:ascii="Calibri" w:hAnsi="Calibri" w:cs="Calibri"/>
            </w:rPr>
          </w:pPr>
          <w:r>
            <w:fldChar w:fldCharType="begin"/>
          </w:r>
          <w:r>
            <w:rPr>
              <w:rStyle w:val="Verzeichnissprung"/>
              <w:rFonts w:cs="Calibri" w:ascii="Calibri" w:hAnsi="Calibri"/>
            </w:rPr>
            <w:instrText xml:space="preserve"> TOC \o "1-2" \h</w:instrText>
          </w:r>
          <w:r>
            <w:rPr>
              <w:rStyle w:val="Verzeichnissprung"/>
              <w:rFonts w:cs="Calibri" w:ascii="Calibri" w:hAnsi="Calibri"/>
            </w:rPr>
            <w:fldChar w:fldCharType="separate"/>
          </w:r>
          <w:hyperlink w:anchor="_Toc1" w:tgtFrame="#_Toc1">
            <w:bookmarkStart w:id="1" w:name="__RefHeading___Toc3356_3963215250"/>
            <w:bookmarkEnd w:id="1"/>
            <w:r>
              <w:rPr>
                <w:webHidden/>
              </w:rPr>
              <w:fldChar w:fldCharType="begin"/>
            </w:r>
            <w:r>
              <w:rPr>
                <w:webHidden/>
              </w:rPr>
              <w:instrText xml:space="preserve">PAGEREF _Toc1 \h</w:instrText>
            </w:r>
            <w:r>
              <w:rPr>
                <w:webHidden/>
              </w:rPr>
              <w:fldChar w:fldCharType="separate"/>
            </w:r>
            <w:r>
              <w:rPr>
                <w:rStyle w:val="Verzeichnissprung"/>
                <w:rFonts w:cs="Calibri" w:ascii="Calibri" w:hAnsi="Calibri"/>
              </w:rPr>
              <w:t>Inhaltsverzeichnis</w:t>
              <w:tab/>
              <w:t>1</w:t>
            </w:r>
            <w:r>
              <w:rPr>
                <w:webHidden/>
              </w:rPr>
              <w:fldChar w:fldCharType="end"/>
            </w:r>
          </w:hyperlink>
        </w:p>
        <w:p>
          <w:pPr>
            <w:pStyle w:val="Inhaltsverzeichnis1"/>
            <w:tabs>
              <w:tab w:val="left" w:pos="567" w:leader="none"/>
              <w:tab w:val="left" w:pos="1134" w:leader="none"/>
              <w:tab w:val="left" w:pos="1225" w:leader="none"/>
              <w:tab w:val="right" w:pos="9072" w:leader="none"/>
              <w:tab w:val="right" w:pos="9638" w:leader="dot"/>
            </w:tabs>
            <w:rPr>
              <w:rFonts w:ascii="Calibri" w:hAnsi="Calibri" w:cs="Calibri"/>
              <w:bCs/>
              <w:sz w:val="32"/>
              <w:szCs w:val="32"/>
            </w:rPr>
          </w:pPr>
          <w:hyperlink w:anchor="_Toc2" w:tgtFrame="#_Toc2">
            <w:r>
              <w:rPr>
                <w:rStyle w:val="Verzeichnissprung"/>
                <w:rFonts w:cs="Calibri" w:ascii="Calibri" w:hAnsi="Calibri"/>
              </w:rPr>
              <w:t>1.</w:t>
              <w:tab/>
            </w:r>
            <w:r>
              <w:rPr>
                <w:rStyle w:val="Verzeichnissprung"/>
                <w:rFonts w:cs="Calibri" w:ascii="Calibri" w:hAnsi="Calibri"/>
                <w:bCs/>
                <w:sz w:val="32"/>
                <w:szCs w:val="32"/>
                <w:lang w:eastAsia="ar-SA"/>
              </w:rPr>
              <w:t>Konfiguration</w:t>
            </w:r>
            <w:r>
              <w:rPr>
                <w:webHidden/>
              </w:rPr>
              <w:fldChar w:fldCharType="begin"/>
            </w:r>
            <w:r>
              <w:rPr>
                <w:webHidden/>
              </w:rPr>
              <w:instrText xml:space="preserve">PAGEREF _Toc2 \h</w:instrText>
            </w:r>
            <w:r>
              <w:rPr>
                <w:webHidden/>
              </w:rPr>
              <w:fldChar w:fldCharType="separate"/>
            </w:r>
            <w:r>
              <w:rPr>
                <w:rStyle w:val="Verzeichnissprung"/>
                <w:rFonts w:cs="Calibri" w:ascii="Calibri" w:hAnsi="Calibri"/>
              </w:rPr>
              <w:tab/>
              <w:t>1</w:t>
            </w:r>
            <w:r>
              <w:rPr>
                <w:webHidden/>
              </w:rPr>
              <w:fldChar w:fldCharType="end"/>
            </w:r>
          </w:hyperlink>
        </w:p>
        <w:p>
          <w:pPr>
            <w:pStyle w:val="Inhaltsverzeichnis2"/>
            <w:tabs>
              <w:tab w:val="left" w:pos="1701" w:leader="none"/>
              <w:tab w:val="left" w:pos="1792" w:leader="none"/>
              <w:tab w:val="right" w:pos="9072" w:leader="none"/>
              <w:tab w:val="right" w:pos="9638" w:leader="dot"/>
            </w:tabs>
            <w:rPr>
              <w:rFonts w:ascii="Calibri" w:hAnsi="Calibri" w:cs="Calibri"/>
              <w:bCs/>
              <w:sz w:val="32"/>
              <w:szCs w:val="32"/>
            </w:rPr>
          </w:pPr>
          <w:hyperlink w:anchor="_Toc3" w:tgtFrame="#_Toc3">
            <w:r>
              <w:rPr>
                <w:rStyle w:val="Verzeichnissprung"/>
                <w:rFonts w:cs="Calibri" w:ascii="Calibri" w:hAnsi="Calibri"/>
              </w:rPr>
              <w:t>1.1.</w:t>
              <w:tab/>
            </w:r>
            <w:r>
              <w:rPr>
                <w:rStyle w:val="Verzeichnissprung"/>
                <w:rFonts w:cs="Calibri" w:ascii="Calibri" w:hAnsi="Calibri"/>
                <w:bCs/>
                <w:sz w:val="32"/>
                <w:szCs w:val="32"/>
                <w:lang w:eastAsia="ar-SA"/>
              </w:rPr>
              <w:t>Allgemeine Hinweise zur Konfiguration</w:t>
            </w:r>
            <w:r>
              <w:rPr>
                <w:webHidden/>
              </w:rPr>
              <w:fldChar w:fldCharType="begin"/>
            </w:r>
            <w:r>
              <w:rPr>
                <w:webHidden/>
              </w:rPr>
              <w:instrText xml:space="preserve">PAGEREF _Toc3 \h</w:instrText>
            </w:r>
            <w:r>
              <w:rPr>
                <w:webHidden/>
              </w:rPr>
              <w:fldChar w:fldCharType="separate"/>
            </w:r>
            <w:r>
              <w:rPr>
                <w:rStyle w:val="Verzeichnissprung"/>
                <w:rFonts w:cs="Calibri" w:ascii="Calibri" w:hAnsi="Calibri"/>
              </w:rPr>
              <w:tab/>
              <w:t>1</w:t>
            </w:r>
            <w:r>
              <w:rPr>
                <w:webHidden/>
              </w:rPr>
              <w:fldChar w:fldCharType="end"/>
            </w:r>
          </w:hyperlink>
        </w:p>
        <w:p>
          <w:pPr>
            <w:pStyle w:val="Inhaltsverzeichnis2"/>
            <w:tabs>
              <w:tab w:val="left" w:pos="1701" w:leader="none"/>
              <w:tab w:val="left" w:pos="1792" w:leader="none"/>
              <w:tab w:val="right" w:pos="9072" w:leader="none"/>
              <w:tab w:val="right" w:pos="9638" w:leader="dot"/>
            </w:tabs>
            <w:rPr>
              <w:rFonts w:ascii="Calibri" w:hAnsi="Calibri" w:cs="Calibri"/>
            </w:rPr>
          </w:pPr>
          <w:hyperlink w:anchor="_Toc4" w:tgtFrame="#_Toc4">
            <w:r>
              <w:rPr>
                <w:webHidden/>
              </w:rPr>
              <w:fldChar w:fldCharType="begin"/>
            </w:r>
            <w:r>
              <w:rPr>
                <w:webHidden/>
              </w:rPr>
              <w:instrText xml:space="preserve">PAGEREF _Toc4 \h</w:instrText>
            </w:r>
            <w:r>
              <w:rPr>
                <w:webHidden/>
              </w:rPr>
              <w:fldChar w:fldCharType="separate"/>
            </w:r>
            <w:r>
              <w:rPr>
                <w:rStyle w:val="Verzeichnissprung"/>
                <w:rFonts w:cs="Calibri" w:ascii="Calibri" w:hAnsi="Calibri"/>
              </w:rPr>
              <w:t>1.2.</w:t>
              <w:tab/>
              <w:t>Konfigurationsparameter</w:t>
              <w:tab/>
              <w:t>2</w:t>
            </w:r>
            <w:r>
              <w:rPr>
                <w:webHidden/>
              </w:rPr>
              <w:fldChar w:fldCharType="end"/>
            </w:r>
          </w:hyperlink>
        </w:p>
        <w:p>
          <w:pPr>
            <w:pStyle w:val="Inhaltsverzeichnis1"/>
            <w:tabs>
              <w:tab w:val="left" w:pos="567" w:leader="none"/>
              <w:tab w:val="left" w:pos="1134" w:leader="none"/>
              <w:tab w:val="left" w:pos="1225" w:leader="none"/>
              <w:tab w:val="right" w:pos="9072" w:leader="none"/>
              <w:tab w:val="right" w:pos="9638" w:leader="dot"/>
            </w:tabs>
            <w:rPr>
              <w:rFonts w:ascii="Calibri" w:hAnsi="Calibri" w:cs="Calibri"/>
            </w:rPr>
          </w:pPr>
          <w:hyperlink w:anchor="_Toc5" w:tgtFrame="#_Toc5">
            <w:r>
              <w:rPr>
                <w:webHidden/>
              </w:rPr>
              <w:fldChar w:fldCharType="begin"/>
            </w:r>
            <w:r>
              <w:rPr>
                <w:webHidden/>
              </w:rPr>
              <w:instrText xml:space="preserve">PAGEREF _Toc5 \h</w:instrText>
            </w:r>
            <w:r>
              <w:rPr>
                <w:webHidden/>
              </w:rPr>
              <w:fldChar w:fldCharType="separate"/>
            </w:r>
            <w:r>
              <w:rPr>
                <w:rStyle w:val="Verzeichnissprung"/>
                <w:rFonts w:cs="Calibri" w:ascii="Calibri" w:hAnsi="Calibri"/>
              </w:rPr>
              <w:t>2.</w:t>
              <w:tab/>
              <w:t>Änderungsübersicht</w:t>
              <w:tab/>
              <w:t>7</w:t>
            </w:r>
            <w:r>
              <w:rPr>
                <w:webHidden/>
              </w:rPr>
              <w:fldChar w:fldCharType="end"/>
            </w:r>
          </w:hyperlink>
          <w:r>
            <w:rPr>
              <w:rStyle w:val="Verzeichnissprung"/>
              <w:rFonts w:cs="Calibri" w:ascii="Calibri" w:hAnsi="Calibri"/>
            </w:rPr>
            <w:fldChar w:fldCharType="end"/>
          </w:r>
        </w:p>
      </w:sdtContent>
    </w:sdt>
    <w:p>
      <w:pPr>
        <w:pStyle w:val="Inhaltsverzeichnis1"/>
        <w:tabs>
          <w:tab w:val="clear" w:pos="567"/>
          <w:tab w:val="clear" w:pos="1134"/>
          <w:tab w:val="clear" w:pos="9072"/>
          <w:tab w:val="right" w:pos="9638" w:leader="dot"/>
        </w:tabs>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1"/>
        <w:ind w:left="709" w:hanging="709"/>
        <w:rPr>
          <w:rFonts w:ascii="Calibri" w:hAnsi="Calibri" w:cs="Calibri"/>
        </w:rPr>
      </w:pPr>
      <w:bookmarkStart w:id="2" w:name="__RefHeading___Toc3358_3963215250"/>
      <w:bookmarkStart w:id="3" w:name="_Toc2"/>
      <w:bookmarkEnd w:id="2"/>
      <w:r>
        <w:rPr>
          <w:rFonts w:cs="Calibri" w:ascii="Calibri" w:hAnsi="Calibri"/>
        </w:rPr>
        <w:t>Konfiguration</w:t>
      </w:r>
      <w:bookmarkEnd w:id="3"/>
    </w:p>
    <w:p>
      <w:pPr>
        <w:pStyle w:val="Textkrper"/>
        <w:rPr>
          <w:rFonts w:ascii="Calibri" w:hAnsi="Calibri" w:cs="Calibri"/>
        </w:rPr>
      </w:pPr>
      <w:r>
        <w:rPr>
          <w:rFonts w:cs="Calibri" w:ascii="Calibri" w:hAnsi="Calibri"/>
        </w:rPr>
        <w:t>Dieses Dokument beschreibt Konfigurationsparameter des österreichspezifischen eIDAS Proxy-Service.</w:t>
      </w:r>
    </w:p>
    <w:p>
      <w:pPr>
        <w:pStyle w:val="Textkrper"/>
        <w:ind w:left="709" w:hanging="709"/>
        <w:rPr>
          <w:rFonts w:ascii="Calibri" w:hAnsi="Calibri" w:cs="Calibri"/>
          <w:b/>
          <w:b/>
          <w:bCs/>
          <w:sz w:val="28"/>
          <w:szCs w:val="32"/>
        </w:rPr>
      </w:pPr>
      <w:r>
        <w:rPr>
          <w:rFonts w:cs="Calibri" w:ascii="Calibri" w:hAnsi="Calibri"/>
          <w:b/>
          <w:bCs/>
          <w:sz w:val="28"/>
          <w:szCs w:val="32"/>
        </w:rPr>
      </w:r>
    </w:p>
    <w:p>
      <w:pPr>
        <w:pStyle w:val="Berschrift2"/>
        <w:ind w:left="709" w:hanging="709"/>
        <w:rPr>
          <w:rFonts w:ascii="Calibri" w:hAnsi="Calibri" w:cs="Calibri"/>
          <w:b/>
          <w:b/>
          <w:sz w:val="28"/>
          <w:szCs w:val="32"/>
        </w:rPr>
      </w:pPr>
      <w:bookmarkStart w:id="4" w:name="__RefHeading___Toc3391_3963215250"/>
      <w:bookmarkStart w:id="5" w:name="_Toc3"/>
      <w:bookmarkEnd w:id="4"/>
      <w:r>
        <w:rPr>
          <w:rFonts w:cs="Calibri" w:ascii="Calibri" w:hAnsi="Calibri"/>
          <w:b/>
          <w:sz w:val="28"/>
          <w:szCs w:val="32"/>
        </w:rPr>
        <w:t>Allgemeine Hinweise zur Konfiguration</w:t>
      </w:r>
      <w:bookmarkEnd w:id="5"/>
    </w:p>
    <w:p>
      <w:pPr>
        <w:pStyle w:val="Textkrper"/>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t>Die nachfolgenden Kapitel beschreiben allgemeine Konfigurationsrichtlinien für das österreichspezifische eIDAS Proxy-Service.</w:t>
      </w:r>
    </w:p>
    <w:p>
      <w:pPr>
        <w:pStyle w:val="Textkrper"/>
        <w:rPr>
          <w:rFonts w:ascii="Calibri" w:hAnsi="Calibri" w:cs="Calibri"/>
        </w:rPr>
      </w:pPr>
      <w:r>
        <w:rPr>
          <w:rFonts w:cs="Calibri" w:ascii="Calibri" w:hAnsi="Calibri"/>
        </w:rPr>
      </w:r>
    </w:p>
    <w:p>
      <w:pPr>
        <w:pStyle w:val="Berschrift3"/>
        <w:numPr>
          <w:ilvl w:val="3"/>
          <w:numId w:val="20"/>
        </w:numPr>
        <w:ind w:left="709" w:hanging="709"/>
        <w:rPr>
          <w:rFonts w:ascii="Calibri" w:hAnsi="Calibri" w:cs="Calibri"/>
        </w:rPr>
      </w:pPr>
      <w:bookmarkStart w:id="6" w:name="__RefHeading___Toc3360_3963215250"/>
      <w:bookmarkEnd w:id="6"/>
      <w:r>
        <w:rPr>
          <w:rFonts w:cs="Calibri" w:ascii="Calibri" w:hAnsi="Calibri"/>
        </w:rPr>
        <w:t>Referenzen auf Dateien und Verzeichnisse</w:t>
      </w:r>
    </w:p>
    <w:p>
      <w:pPr>
        <w:pStyle w:val="Textkrper"/>
        <w:rPr>
          <w:rFonts w:ascii="Calibri" w:hAnsi="Calibri" w:cs="Calibri"/>
        </w:rPr>
      </w:pPr>
      <w:r>
        <w:rPr>
          <w:rFonts w:cs="Calibri" w:ascii="Calibri" w:hAnsi="Calibri"/>
        </w:rPr>
      </w:r>
    </w:p>
    <w:p>
      <w:pPr>
        <w:pStyle w:val="Text"/>
        <w:rPr>
          <w:rFonts w:ascii="Calibri" w:hAnsi="Calibri" w:cs="Calibri"/>
          <w:lang w:eastAsia="ar-SA"/>
        </w:rPr>
      </w:pPr>
      <w:r>
        <w:rPr>
          <w:rFonts w:cs="Calibri" w:ascii="Calibri" w:hAnsi="Calibri"/>
          <w:lang w:eastAsia="ar-SA"/>
        </w:rPr>
        <w:t xml:space="preserve">Pfade auf Dateien und Verzeichnisse werden als relativ zum jeweilig in der Konfiguration angegebenen configRootDirectory interpretiert sofern diese nicht mit </w:t>
      </w:r>
      <w:r>
        <w:rPr>
          <w:rFonts w:cs="Calibri" w:ascii="Calibri" w:hAnsi="Calibri"/>
          <w:i/>
          <w:lang w:eastAsia="ar-SA"/>
        </w:rPr>
        <w:t>file:</w:t>
      </w:r>
      <w:r>
        <w:rPr>
          <w:rFonts w:cs="Calibri" w:ascii="Calibri" w:hAnsi="Calibri"/>
          <w:lang w:eastAsia="ar-SA"/>
        </w:rPr>
        <w:t xml:space="preserve"> beginnen.</w:t>
      </w:r>
    </w:p>
    <w:p>
      <w:pPr>
        <w:pStyle w:val="Text"/>
        <w:rPr>
          <w:rFonts w:ascii="Calibri" w:hAnsi="Calibri" w:cs="Calibri"/>
          <w:lang w:val="en-US" w:eastAsia="ar-SA"/>
        </w:rPr>
      </w:pPr>
      <w:r>
        <w:rPr>
          <w:rFonts w:cs="Calibri" w:ascii="Calibri" w:hAnsi="Calibri"/>
          <w:b/>
          <w:lang w:val="en-US" w:eastAsia="ar-SA"/>
        </w:rPr>
        <w:t xml:space="preserve">Beispiele: </w:t>
      </w:r>
    </w:p>
    <w:p>
      <w:pPr>
        <w:pStyle w:val="Text"/>
        <w:rPr>
          <w:rFonts w:ascii="Calibri" w:hAnsi="Calibri" w:cs="Calibri"/>
          <w:lang w:val="en-US"/>
        </w:rPr>
      </w:pPr>
      <w:r>
        <w:rPr>
          <w:rFonts w:cs="Calibri" w:ascii="Calibri" w:hAnsi="Calibri"/>
          <w:lang w:val="en-US" w:eastAsia="ar-SA"/>
        </w:rPr>
        <w:t xml:space="preserve">ConfigRootDirector: </w:t>
      </w:r>
      <w:r>
        <w:rPr>
          <w:rFonts w:cs="Calibri" w:ascii="Calibri" w:hAnsi="Calibri"/>
          <w:color w:val="000000"/>
          <w:sz w:val="18"/>
          <w:szCs w:val="18"/>
          <w:shd w:fill="FFFFFF" w:val="clear"/>
          <w:lang w:val="en-US" w:eastAsia="ar-SA"/>
        </w:rPr>
        <w:t>eidas.ms.core.configRootDir=</w:t>
      </w:r>
      <w:r>
        <w:rPr>
          <w:rStyle w:val="Internetverknpfung"/>
          <w:rFonts w:cs="Calibri" w:ascii="Calibri" w:hAnsi="Calibri"/>
          <w:color w:val="000000"/>
          <w:sz w:val="18"/>
          <w:szCs w:val="18"/>
          <w:shd w:fill="FFFFFF" w:val="clear"/>
          <w:lang w:val="en-US" w:eastAsia="ar-SA"/>
        </w:rPr>
        <w:t>file:/test/config/</w:t>
      </w:r>
    </w:p>
    <w:p>
      <w:pPr>
        <w:pStyle w:val="Text"/>
        <w:rPr>
          <w:rFonts w:ascii="Calibri" w:hAnsi="Calibri" w:cs="Calibri"/>
          <w:color w:val="000000"/>
          <w:sz w:val="18"/>
          <w:szCs w:val="18"/>
          <w:shd w:fill="FFFFFF" w:val="clear"/>
          <w:lang w:val="en-US"/>
        </w:rPr>
      </w:pPr>
      <w:r>
        <w:rPr>
          <w:rFonts w:cs="Calibri" w:ascii="Calibri" w:hAnsi="Calibri"/>
          <w:color w:val="000000"/>
          <w:sz w:val="18"/>
          <w:szCs w:val="18"/>
          <w:shd w:fill="FFFFFF" w:val="clear"/>
          <w:lang w:val="en-US"/>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787"/>
        <w:gridCol w:w="5506"/>
      </w:tblGrid>
      <w:tr>
        <w:trPr/>
        <w:tc>
          <w:tcPr>
            <w:tcW w:w="3787" w:type="dxa"/>
            <w:tcBorders>
              <w:bottom w:val="single" w:sz="12" w:space="0" w:color="656565"/>
            </w:tcBorders>
          </w:tcPr>
          <w:p>
            <w:pPr>
              <w:pStyle w:val="Normal"/>
              <w:widowControl w:val="false"/>
              <w:spacing w:before="0" w:after="0"/>
              <w:ind w:left="227" w:hanging="0"/>
              <w:jc w:val="center"/>
              <w:rPr>
                <w:rFonts w:ascii="Calibri" w:hAnsi="Calibri" w:cs="Calibri"/>
                <w:b/>
                <w:b/>
                <w:sz w:val="20"/>
              </w:rPr>
            </w:pPr>
            <w:r>
              <w:rPr>
                <w:rFonts w:eastAsia="Calibri" w:cs="Calibri" w:ascii="Calibri" w:hAnsi="Calibri"/>
                <w:b/>
                <w:color w:val="404040"/>
                <w:kern w:val="0"/>
                <w:sz w:val="20"/>
                <w:szCs w:val="22"/>
                <w:lang w:eastAsia="en-US" w:bidi="ar-SA"/>
              </w:rPr>
              <w:t>Konfigurationspfad</w:t>
            </w:r>
          </w:p>
        </w:tc>
        <w:tc>
          <w:tcPr>
            <w:tcW w:w="5506" w:type="dxa"/>
            <w:tcBorders>
              <w:bottom w:val="single" w:sz="12" w:space="0" w:color="656565"/>
            </w:tcBorders>
          </w:tcPr>
          <w:p>
            <w:pPr>
              <w:pStyle w:val="Normal"/>
              <w:widowControl w:val="false"/>
              <w:spacing w:before="0" w:after="0"/>
              <w:ind w:left="227" w:hanging="0"/>
              <w:jc w:val="center"/>
              <w:rPr>
                <w:rFonts w:ascii="Calibri" w:hAnsi="Calibri" w:cs="Calibri"/>
                <w:b/>
                <w:b/>
                <w:sz w:val="20"/>
              </w:rPr>
            </w:pPr>
            <w:r>
              <w:rPr>
                <w:rFonts w:eastAsia="Calibri" w:cs="Calibri" w:ascii="Calibri" w:hAnsi="Calibri"/>
                <w:b/>
                <w:color w:val="404040"/>
                <w:kern w:val="0"/>
                <w:sz w:val="20"/>
                <w:szCs w:val="22"/>
                <w:lang w:eastAsia="en-US" w:bidi="ar-SA"/>
              </w:rPr>
              <w:t>Absoluter Pfad über den die Ressource geladen wird</w:t>
            </w:r>
          </w:p>
        </w:tc>
      </w:tr>
      <w:tr>
        <w:trPr/>
        <w:tc>
          <w:tcPr>
            <w:tcW w:w="3787" w:type="dxa"/>
            <w:tcBorders/>
          </w:tcPr>
          <w:p>
            <w:pPr>
              <w:pStyle w:val="Normal"/>
              <w:widowControl w:val="false"/>
              <w:spacing w:before="0" w:after="0"/>
              <w:ind w:left="227" w:hanging="0"/>
              <w:jc w:val="left"/>
              <w:rPr>
                <w:rFonts w:ascii="Calibri" w:hAnsi="Calibri" w:cs="Calibri"/>
              </w:rPr>
            </w:pPr>
            <w:r>
              <w:rPr>
                <w:rFonts w:eastAsia="Calibri" w:cs="Calibri" w:ascii="Calibri" w:hAnsi="Calibri"/>
                <w:color w:val="000000"/>
                <w:kern w:val="0"/>
                <w:sz w:val="18"/>
                <w:szCs w:val="18"/>
                <w:shd w:fill="FFFFFF" w:val="clear"/>
                <w:lang w:eastAsia="en-US" w:bidi="ar-SA"/>
              </w:rPr>
              <w:t>gui/templates/</w:t>
            </w:r>
          </w:p>
        </w:tc>
        <w:tc>
          <w:tcPr>
            <w:tcW w:w="5506" w:type="dxa"/>
            <w:tcBorders/>
          </w:tcPr>
          <w:p>
            <w:pPr>
              <w:pStyle w:val="Normal"/>
              <w:widowControl w:val="false"/>
              <w:spacing w:before="0" w:after="0"/>
              <w:ind w:left="227" w:hanging="0"/>
              <w:jc w:val="left"/>
              <w:rPr>
                <w:rFonts w:ascii="Calibri" w:hAnsi="Calibri" w:cs="Calibri"/>
                <w:sz w:val="18"/>
                <w:szCs w:val="18"/>
                <w:lang w:val="en-US"/>
              </w:rPr>
            </w:pPr>
            <w:r>
              <w:rPr>
                <w:rFonts w:eastAsia="Calibri" w:cs="Calibri" w:ascii="Calibri" w:hAnsi="Calibri"/>
                <w:color w:val="000000"/>
                <w:kern w:val="0"/>
                <w:sz w:val="18"/>
                <w:szCs w:val="18"/>
                <w:shd w:fill="FFFFFF" w:val="clear"/>
                <w:lang w:val="en-US" w:eastAsia="en-US" w:bidi="ar-SA"/>
              </w:rPr>
              <w:t>file:/test/config/gui/templates/</w:t>
            </w:r>
          </w:p>
        </w:tc>
      </w:tr>
      <w:tr>
        <w:trPr/>
        <w:tc>
          <w:tcPr>
            <w:tcW w:w="3787" w:type="dxa"/>
            <w:tcBorders/>
          </w:tcPr>
          <w:p>
            <w:pPr>
              <w:pStyle w:val="Normal"/>
              <w:widowControl w:val="false"/>
              <w:spacing w:before="0" w:after="0"/>
              <w:ind w:left="227" w:hanging="0"/>
              <w:jc w:val="left"/>
              <w:rPr>
                <w:rFonts w:ascii="Calibri" w:hAnsi="Calibri" w:cs="Calibri"/>
              </w:rPr>
            </w:pPr>
            <w:r>
              <w:rPr>
                <w:rFonts w:eastAsia="Calibri" w:cs="Calibri" w:ascii="Calibri" w:hAnsi="Calibri"/>
                <w:color w:val="000000"/>
                <w:kern w:val="0"/>
                <w:sz w:val="18"/>
                <w:szCs w:val="18"/>
                <w:shd w:fill="FFFFFF" w:val="clear"/>
                <w:lang w:eastAsia="en-US" w:bidi="ar-SA"/>
              </w:rPr>
              <w:t>/gui/templates/</w:t>
            </w:r>
          </w:p>
        </w:tc>
        <w:tc>
          <w:tcPr>
            <w:tcW w:w="5506" w:type="dxa"/>
            <w:tcBorders/>
          </w:tcPr>
          <w:p>
            <w:pPr>
              <w:pStyle w:val="Normal"/>
              <w:widowControl w:val="false"/>
              <w:spacing w:before="0" w:after="0"/>
              <w:ind w:left="227" w:hanging="0"/>
              <w:jc w:val="left"/>
              <w:rPr>
                <w:rFonts w:ascii="Calibri" w:hAnsi="Calibri" w:cs="Calibri"/>
                <w:sz w:val="18"/>
                <w:szCs w:val="18"/>
                <w:lang w:val="en-US"/>
              </w:rPr>
            </w:pPr>
            <w:r>
              <w:rPr>
                <w:rFonts w:eastAsia="Calibri" w:cs="Calibri" w:ascii="Calibri" w:hAnsi="Calibri"/>
                <w:color w:val="000000"/>
                <w:kern w:val="0"/>
                <w:sz w:val="18"/>
                <w:szCs w:val="18"/>
                <w:shd w:fill="FFFFFF" w:val="clear"/>
                <w:lang w:val="en-US" w:eastAsia="en-US" w:bidi="ar-SA"/>
              </w:rPr>
              <w:t>file:/test/config/gui/templates/</w:t>
            </w:r>
          </w:p>
        </w:tc>
      </w:tr>
      <w:tr>
        <w:trPr/>
        <w:tc>
          <w:tcPr>
            <w:tcW w:w="3787" w:type="dxa"/>
            <w:tcBorders/>
          </w:tcPr>
          <w:p>
            <w:pPr>
              <w:pStyle w:val="Normal"/>
              <w:widowControl w:val="false"/>
              <w:spacing w:before="0" w:after="0"/>
              <w:ind w:left="227" w:hanging="0"/>
              <w:jc w:val="left"/>
              <w:rPr>
                <w:rFonts w:ascii="Calibri" w:hAnsi="Calibri" w:cs="Calibri"/>
                <w:color w:val="000000"/>
                <w:sz w:val="18"/>
                <w:szCs w:val="18"/>
                <w:shd w:fill="FFFFFF" w:val="clear"/>
              </w:rPr>
            </w:pPr>
            <w:r>
              <w:rPr>
                <w:rFonts w:eastAsia="Calibri" w:cs="Calibri" w:ascii="Calibri" w:hAnsi="Calibri"/>
                <w:color w:val="000000"/>
                <w:kern w:val="0"/>
                <w:sz w:val="18"/>
                <w:szCs w:val="18"/>
                <w:shd w:fill="FFFFFF" w:val="clear"/>
                <w:lang w:val="en-US" w:eastAsia="en-US" w:bidi="ar-SA"/>
              </w:rPr>
              <w:t>file:</w:t>
            </w:r>
            <w:r>
              <w:rPr>
                <w:rFonts w:eastAsia="Calibri" w:cs="Calibri" w:ascii="Calibri" w:hAnsi="Calibri"/>
                <w:color w:val="000000"/>
                <w:kern w:val="0"/>
                <w:sz w:val="18"/>
                <w:szCs w:val="18"/>
                <w:shd w:fill="FFFFFF" w:val="clear"/>
                <w:lang w:eastAsia="en-US" w:bidi="ar-SA"/>
              </w:rPr>
              <w:t>/gui/templates/</w:t>
            </w:r>
          </w:p>
        </w:tc>
        <w:tc>
          <w:tcPr>
            <w:tcW w:w="5506" w:type="dxa"/>
            <w:tcBorders/>
          </w:tcPr>
          <w:p>
            <w:pPr>
              <w:pStyle w:val="Normal"/>
              <w:widowControl w:val="false"/>
              <w:spacing w:before="0" w:after="0"/>
              <w:ind w:left="227" w:hanging="0"/>
              <w:jc w:val="left"/>
              <w:rPr>
                <w:rFonts w:ascii="Calibri" w:hAnsi="Calibri" w:cs="Calibri"/>
                <w:sz w:val="18"/>
                <w:szCs w:val="18"/>
              </w:rPr>
            </w:pPr>
            <w:r>
              <w:rPr>
                <w:rFonts w:eastAsia="Calibri" w:cs="Calibri" w:ascii="Calibri" w:hAnsi="Calibri"/>
                <w:color w:val="000000"/>
                <w:kern w:val="0"/>
                <w:sz w:val="18"/>
                <w:szCs w:val="18"/>
                <w:shd w:fill="FFFFFF" w:val="clear"/>
                <w:lang w:val="en-US" w:eastAsia="en-US" w:bidi="ar-SA"/>
              </w:rPr>
              <w:t>file:</w:t>
            </w:r>
            <w:r>
              <w:rPr>
                <w:rFonts w:eastAsia="Calibri" w:cs="Calibri" w:ascii="Calibri" w:hAnsi="Calibri"/>
                <w:color w:val="000000"/>
                <w:kern w:val="0"/>
                <w:sz w:val="18"/>
                <w:szCs w:val="18"/>
                <w:shd w:fill="FFFFFF" w:val="clear"/>
                <w:lang w:eastAsia="en-US" w:bidi="ar-SA"/>
              </w:rPr>
              <w:t>/gui/templates/</w:t>
            </w:r>
          </w:p>
        </w:tc>
      </w:tr>
      <w:tr>
        <w:trPr/>
        <w:tc>
          <w:tcPr>
            <w:tcW w:w="3787" w:type="dxa"/>
            <w:tcBorders/>
          </w:tcPr>
          <w:p>
            <w:pPr>
              <w:pStyle w:val="Normal"/>
              <w:widowControl w:val="false"/>
              <w:spacing w:before="0" w:after="0"/>
              <w:ind w:left="227" w:hanging="0"/>
              <w:jc w:val="left"/>
              <w:rPr>
                <w:rFonts w:ascii="Calibri" w:hAnsi="Calibri" w:cs="Calibri"/>
                <w:color w:val="000000"/>
                <w:sz w:val="18"/>
                <w:szCs w:val="18"/>
                <w:shd w:fill="FFFFFF" w:val="clear"/>
                <w:lang w:val="en-US"/>
              </w:rPr>
            </w:pPr>
            <w:r>
              <w:rPr>
                <w:rFonts w:eastAsia="Calibri" w:cs="Calibri" w:ascii="Calibri" w:hAnsi="Calibri"/>
                <w:color w:val="000000"/>
                <w:kern w:val="0"/>
                <w:sz w:val="18"/>
                <w:szCs w:val="18"/>
                <w:shd w:fill="FFFFFF" w:val="clear"/>
                <w:lang w:val="en-US" w:eastAsia="en-US" w:bidi="ar-SA"/>
              </w:rPr>
              <w:t>file:/gui/test/test1.html</w:t>
            </w:r>
          </w:p>
        </w:tc>
        <w:tc>
          <w:tcPr>
            <w:tcW w:w="5506" w:type="dxa"/>
            <w:tcBorders/>
          </w:tcPr>
          <w:p>
            <w:pPr>
              <w:pStyle w:val="Normal"/>
              <w:widowControl w:val="false"/>
              <w:spacing w:before="0" w:after="0"/>
              <w:ind w:left="227" w:hanging="0"/>
              <w:jc w:val="left"/>
              <w:rPr>
                <w:rFonts w:ascii="Calibri" w:hAnsi="Calibri" w:cs="Calibri"/>
                <w:sz w:val="18"/>
                <w:szCs w:val="18"/>
                <w:lang w:val="en-US"/>
              </w:rPr>
            </w:pPr>
            <w:r>
              <w:rPr>
                <w:rFonts w:eastAsia="Calibri" w:cs="Calibri" w:ascii="Calibri" w:hAnsi="Calibri"/>
                <w:color w:val="000000"/>
                <w:kern w:val="0"/>
                <w:sz w:val="18"/>
                <w:szCs w:val="18"/>
                <w:shd w:fill="FFFFFF" w:val="clear"/>
                <w:lang w:val="en-US" w:eastAsia="en-US" w:bidi="ar-SA"/>
              </w:rPr>
              <w:t>file:/gui/test/test1.html</w:t>
            </w:r>
          </w:p>
        </w:tc>
      </w:tr>
      <w:tr>
        <w:trPr/>
        <w:tc>
          <w:tcPr>
            <w:tcW w:w="3787" w:type="dxa"/>
            <w:tcBorders/>
          </w:tcPr>
          <w:p>
            <w:pPr>
              <w:pStyle w:val="Normal"/>
              <w:widowControl w:val="false"/>
              <w:spacing w:before="0" w:after="0"/>
              <w:jc w:val="left"/>
              <w:rPr>
                <w:rFonts w:ascii="Calibri" w:hAnsi="Calibri" w:cs="Calibri"/>
                <w:color w:val="000000"/>
                <w:sz w:val="18"/>
                <w:szCs w:val="18"/>
                <w:shd w:fill="FFFFFF" w:val="clear"/>
              </w:rPr>
            </w:pPr>
            <w:r>
              <w:rPr>
                <w:rFonts w:eastAsia="Calibri" w:cs="Calibri" w:ascii="Calibri" w:hAnsi="Calibri"/>
                <w:color w:val="000000"/>
                <w:kern w:val="0"/>
                <w:sz w:val="18"/>
                <w:szCs w:val="18"/>
                <w:shd w:fill="FFFFFF" w:val="clear"/>
                <w:lang w:val="en-US" w:eastAsia="en-US" w:bidi="ar-SA"/>
              </w:rPr>
              <w:t xml:space="preserve">    </w:t>
            </w:r>
            <w:r>
              <w:rPr>
                <w:rFonts w:eastAsia="Calibri" w:cs="Calibri" w:ascii="Calibri" w:hAnsi="Calibri"/>
                <w:color w:val="000000"/>
                <w:kern w:val="0"/>
                <w:sz w:val="18"/>
                <w:szCs w:val="18"/>
                <w:shd w:fill="FFFFFF" w:val="clear"/>
                <w:lang w:val="en-US" w:eastAsia="en-US" w:bidi="ar-SA"/>
              </w:rPr>
              <w:t>gui/test/test1.html</w:t>
            </w:r>
          </w:p>
        </w:tc>
        <w:tc>
          <w:tcPr>
            <w:tcW w:w="5506" w:type="dxa"/>
            <w:tcBorders/>
          </w:tcPr>
          <w:p>
            <w:pPr>
              <w:pStyle w:val="Normal"/>
              <w:widowControl w:val="false"/>
              <w:spacing w:before="0" w:after="0"/>
              <w:jc w:val="left"/>
              <w:rPr>
                <w:rFonts w:ascii="Calibri" w:hAnsi="Calibri" w:cs="Calibri"/>
                <w:color w:val="000000"/>
                <w:sz w:val="18"/>
                <w:szCs w:val="18"/>
                <w:shd w:fill="FFFFFF" w:val="clear"/>
                <w:lang w:val="en-US"/>
              </w:rPr>
            </w:pPr>
            <w:r>
              <w:rPr>
                <w:rFonts w:eastAsia="Calibri" w:cs="Calibri" w:ascii="Calibri" w:hAnsi="Calibri"/>
                <w:color w:val="000000"/>
                <w:kern w:val="0"/>
                <w:sz w:val="18"/>
                <w:szCs w:val="18"/>
                <w:shd w:fill="FFFFFF" w:val="clear"/>
                <w:lang w:val="en-US" w:eastAsia="en-US" w:bidi="ar-SA"/>
              </w:rPr>
              <w:t>file:/test/config/gui/test/test1.html</w:t>
            </w:r>
          </w:p>
        </w:tc>
      </w:tr>
    </w:tbl>
    <w:p>
      <w:pPr>
        <w:pStyle w:val="Normal"/>
        <w:rPr>
          <w:rFonts w:ascii="Calibri" w:hAnsi="Calibri" w:eastAsia="Calibri" w:cs="Calibri"/>
          <w:color w:val="000000"/>
          <w:sz w:val="18"/>
          <w:szCs w:val="18"/>
          <w:shd w:fill="FFFFFF" w:val="clear"/>
          <w:lang w:val="en-US"/>
        </w:rPr>
      </w:pPr>
      <w:r>
        <w:rPr>
          <w:rFonts w:eastAsia="Calibri" w:cs="Calibri" w:ascii="Calibri" w:hAnsi="Calibri"/>
          <w:color w:val="000000"/>
          <w:sz w:val="18"/>
          <w:szCs w:val="18"/>
          <w:shd w:fill="FFFFFF" w:val="clear"/>
          <w:lang w:val="en-US"/>
        </w:rPr>
      </w:r>
    </w:p>
    <w:p>
      <w:pPr>
        <w:pStyle w:val="Berschrift3"/>
        <w:numPr>
          <w:ilvl w:val="3"/>
          <w:numId w:val="21"/>
        </w:numPr>
        <w:ind w:left="709" w:hanging="709"/>
        <w:rPr>
          <w:rFonts w:ascii="Calibri" w:hAnsi="Calibri" w:cs="Calibri"/>
        </w:rPr>
      </w:pPr>
      <w:bookmarkStart w:id="7" w:name="__RefHeading___Toc3362_3963215250"/>
      <w:bookmarkEnd w:id="7"/>
      <w:r>
        <w:rPr>
          <w:rFonts w:cs="Calibri" w:ascii="Calibri" w:hAnsi="Calibri"/>
        </w:rPr>
        <w:t>Öffentliche Endpunkte am MS-Proxy-Service</w:t>
      </w:r>
    </w:p>
    <w:p>
      <w:pPr>
        <w:pStyle w:val="Textkrper"/>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t>Das MS-Proxy-Service stellt öffentliche benötigte Services an folgenden End-Punkten zur Verfügung.</w:t>
      </w:r>
    </w:p>
    <w:p>
      <w:pPr>
        <w:pStyle w:val="Textkrper"/>
        <w:rPr>
          <w:rFonts w:ascii="Calibri" w:hAnsi="Calibri" w:cs="Calibri"/>
        </w:rPr>
      </w:pPr>
      <w:r>
        <w:rPr>
          <w:rFonts w:cs="Calibri" w:ascii="Calibri" w:hAnsi="Calibri"/>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080"/>
        <w:gridCol w:w="6213"/>
      </w:tblGrid>
      <w:tr>
        <w:trPr/>
        <w:tc>
          <w:tcPr>
            <w:tcW w:w="3080" w:type="dxa"/>
            <w:tcBorders>
              <w:bottom w:val="single" w:sz="12" w:space="0" w:color="656565"/>
            </w:tcBorders>
          </w:tcPr>
          <w:p>
            <w:pPr>
              <w:pStyle w:val="Normal"/>
              <w:widowControl w:val="false"/>
              <w:spacing w:before="0" w:after="0"/>
              <w:ind w:left="227" w:hanging="0"/>
              <w:jc w:val="center"/>
              <w:rPr>
                <w:rFonts w:ascii="Calibri" w:hAnsi="Calibri" w:eastAsia="Calibri" w:cs="Calibri"/>
                <w:b/>
                <w:b/>
                <w:sz w:val="20"/>
                <w:szCs w:val="22"/>
                <w:lang w:eastAsia="en-US"/>
              </w:rPr>
            </w:pPr>
            <w:r>
              <w:rPr>
                <w:rFonts w:eastAsia="Calibri" w:cs="Calibri" w:ascii="Calibri" w:hAnsi="Calibri"/>
                <w:b/>
                <w:color w:val="404040"/>
                <w:kern w:val="0"/>
                <w:sz w:val="20"/>
                <w:szCs w:val="22"/>
                <w:lang w:eastAsia="en-US" w:bidi="ar-SA"/>
              </w:rPr>
              <w:t>Endpunkt</w:t>
            </w:r>
          </w:p>
        </w:tc>
        <w:tc>
          <w:tcPr>
            <w:tcW w:w="6213" w:type="dxa"/>
            <w:tcBorders>
              <w:bottom w:val="single" w:sz="12" w:space="0" w:color="656565"/>
            </w:tcBorders>
          </w:tcPr>
          <w:p>
            <w:pPr>
              <w:pStyle w:val="Normal"/>
              <w:widowControl w:val="false"/>
              <w:spacing w:before="0" w:after="0"/>
              <w:jc w:val="center"/>
              <w:rPr>
                <w:rFonts w:ascii="Calibri" w:hAnsi="Calibri" w:eastAsia="Calibri" w:cs="Calibri"/>
                <w:b/>
                <w:b/>
                <w:sz w:val="20"/>
                <w:szCs w:val="22"/>
                <w:lang w:eastAsia="en-US"/>
              </w:rPr>
            </w:pPr>
            <w:r>
              <w:rPr>
                <w:rFonts w:eastAsia="Calibri" w:cs="Calibri" w:ascii="Calibri" w:hAnsi="Calibri"/>
                <w:b/>
                <w:color w:val="404040"/>
                <w:kern w:val="0"/>
                <w:sz w:val="20"/>
                <w:szCs w:val="22"/>
                <w:lang w:eastAsia="en-US" w:bidi="ar-SA"/>
              </w:rPr>
              <w:t>Beschreibung</w:t>
            </w:r>
          </w:p>
        </w:tc>
      </w:tr>
      <w:tr>
        <w:trPr/>
        <w:tc>
          <w:tcPr>
            <w:tcW w:w="3080" w:type="dxa"/>
            <w:tcBorders/>
          </w:tcPr>
          <w:p>
            <w:pPr>
              <w:pStyle w:val="Normal"/>
              <w:widowControl w:val="false"/>
              <w:spacing w:before="0" w:after="0"/>
              <w:jc w:val="left"/>
              <w:rPr/>
            </w:pPr>
            <w:r>
              <w:rPr>
                <w:rStyle w:val="Quelltext"/>
                <w:rFonts w:eastAsia="Calibri" w:cs="Calibri" w:ascii="Calibri" w:hAnsi="Calibri"/>
                <w:color w:val="2A00FF"/>
                <w:kern w:val="0"/>
                <w:sz w:val="20"/>
                <w:szCs w:val="20"/>
                <w:shd w:fill="E8F2FE" w:val="clear"/>
                <w:lang w:val="de-DE" w:eastAsia="en-US" w:bidi="ar-SA"/>
              </w:rPr>
              <w:t>/public/secure/*</w:t>
            </w:r>
          </w:p>
        </w:tc>
        <w:tc>
          <w:tcPr>
            <w:tcW w:w="6213" w:type="dxa"/>
            <w:tcBorders/>
          </w:tcPr>
          <w:p>
            <w:pPr>
              <w:pStyle w:val="Normal"/>
              <w:widowControl w:val="false"/>
              <w:spacing w:before="0" w:after="0"/>
              <w:jc w:val="left"/>
              <w:rPr>
                <w:rFonts w:ascii="Calibri" w:hAnsi="Calibri" w:cs="Calibri"/>
                <w:color w:val="000000"/>
                <w:sz w:val="18"/>
                <w:szCs w:val="18"/>
                <w:shd w:fill="FFFFFF" w:val="clear"/>
              </w:rPr>
            </w:pPr>
            <w:r>
              <w:rPr>
                <w:rFonts w:eastAsia="Calibri" w:cs="Calibri" w:ascii="Calibri" w:hAnsi="Calibri"/>
                <w:color w:val="000000"/>
                <w:kern w:val="0"/>
                <w:sz w:val="18"/>
                <w:szCs w:val="18"/>
                <w:shd w:fill="FFFFFF" w:val="clear"/>
                <w:lang w:eastAsia="en-US" w:bidi="ar-SA"/>
              </w:rPr>
              <w:t>Endpunkte für Prozessmanagement und ErrorHandling am MS-Proxy-Service</w:t>
            </w:r>
          </w:p>
        </w:tc>
      </w:tr>
      <w:tr>
        <w:trPr/>
        <w:tc>
          <w:tcPr>
            <w:tcW w:w="3080" w:type="dxa"/>
            <w:tcBorders/>
          </w:tcPr>
          <w:p>
            <w:pPr>
              <w:pStyle w:val="Normal"/>
              <w:widowControl w:val="false"/>
              <w:spacing w:before="0" w:after="0"/>
              <w:jc w:val="left"/>
              <w:rPr>
                <w:rFonts w:ascii="Calibri" w:hAnsi="Calibri" w:cs="Calibri"/>
                <w:color w:val="2A00FF"/>
                <w:sz w:val="20"/>
                <w:shd w:fill="E8F2FE" w:val="clear"/>
              </w:rPr>
            </w:pPr>
            <w:r>
              <w:rPr>
                <w:rFonts w:cs="Calibri" w:ascii="Calibri" w:hAnsi="Calibri"/>
                <w:color w:val="2A00FF"/>
                <w:sz w:val="20"/>
                <w:shd w:fill="E8F2FE" w:val="clear"/>
              </w:rPr>
            </w:r>
          </w:p>
        </w:tc>
        <w:tc>
          <w:tcPr>
            <w:tcW w:w="6213" w:type="dxa"/>
            <w:tcBorders/>
          </w:tcPr>
          <w:p>
            <w:pPr>
              <w:pStyle w:val="Normal"/>
              <w:widowControl w:val="false"/>
              <w:spacing w:before="0" w:after="0"/>
              <w:jc w:val="left"/>
              <w:rPr>
                <w:rFonts w:ascii="Calibri" w:hAnsi="Calibri" w:cs="Calibri"/>
                <w:color w:val="000000"/>
                <w:sz w:val="18"/>
                <w:szCs w:val="18"/>
                <w:shd w:fill="FFFFFF" w:val="clear"/>
              </w:rPr>
            </w:pPr>
            <w:r>
              <w:rPr>
                <w:rFonts w:cs="Calibri" w:ascii="Calibri" w:hAnsi="Calibri"/>
                <w:color w:val="000000"/>
                <w:sz w:val="18"/>
                <w:szCs w:val="18"/>
                <w:shd w:fill="FFFFFF" w:val="clear"/>
              </w:rPr>
            </w:r>
          </w:p>
        </w:tc>
      </w:tr>
      <w:tr>
        <w:trPr/>
        <w:tc>
          <w:tcPr>
            <w:tcW w:w="3080" w:type="dxa"/>
            <w:tcBorders/>
          </w:tcPr>
          <w:p>
            <w:pPr>
              <w:pStyle w:val="Normal"/>
              <w:widowControl w:val="false"/>
              <w:spacing w:before="0" w:after="0"/>
              <w:jc w:val="left"/>
              <w:rPr>
                <w:rFonts w:ascii="Calibri" w:hAnsi="Calibri" w:cs="Calibri"/>
                <w:color w:val="2A00FF"/>
                <w:kern w:val="0"/>
                <w:sz w:val="20"/>
                <w:szCs w:val="20"/>
                <w:shd w:fill="E8F2FE" w:val="clear"/>
                <w:lang w:val="de-DE" w:bidi="ar-SA"/>
              </w:rPr>
            </w:pPr>
            <w:r>
              <w:rPr>
                <w:rFonts w:eastAsia="Calibri" w:cs="Calibri" w:ascii="Calibri" w:hAnsi="Calibri"/>
                <w:color w:val="2A00FF"/>
                <w:kern w:val="0"/>
                <w:sz w:val="20"/>
                <w:szCs w:val="20"/>
                <w:shd w:fill="E8F2FE" w:val="clear"/>
                <w:lang w:val="de-DE" w:eastAsia="en-US" w:bidi="ar-SA"/>
              </w:rPr>
              <w:t>/eidas/light/idp/post</w:t>
            </w:r>
          </w:p>
        </w:tc>
        <w:tc>
          <w:tcPr>
            <w:tcW w:w="6213" w:type="dxa"/>
            <w:tcBorders/>
          </w:tcPr>
          <w:p>
            <w:pPr>
              <w:pStyle w:val="Normal"/>
              <w:widowControl w:val="false"/>
              <w:spacing w:before="0" w:after="0"/>
              <w:jc w:val="left"/>
              <w:rPr>
                <w:rFonts w:ascii="Calibri" w:hAnsi="Calibri" w:cs="Calibri"/>
                <w:color w:val="000000"/>
                <w:sz w:val="18"/>
                <w:szCs w:val="18"/>
                <w:shd w:fill="FFFFFF" w:val="clear"/>
              </w:rPr>
            </w:pPr>
            <w:r>
              <w:rPr>
                <w:rFonts w:eastAsia="Calibri" w:cs="Calibri" w:ascii="Calibri" w:hAnsi="Calibri"/>
                <w:color w:val="000000"/>
                <w:kern w:val="0"/>
                <w:sz w:val="18"/>
                <w:szCs w:val="18"/>
                <w:shd w:fill="FFFFFF" w:val="clear"/>
                <w:lang w:eastAsia="en-US" w:bidi="ar-SA"/>
              </w:rPr>
              <w:t>Endpunkte für Kommunikation mit eIDAS Referenzimplementierung</w:t>
            </w:r>
          </w:p>
        </w:tc>
      </w:tr>
      <w:tr>
        <w:trPr/>
        <w:tc>
          <w:tcPr>
            <w:tcW w:w="3080" w:type="dxa"/>
            <w:tcBorders/>
          </w:tcPr>
          <w:p>
            <w:pPr>
              <w:pStyle w:val="Normal"/>
              <w:widowControl w:val="false"/>
              <w:spacing w:before="0" w:after="0"/>
              <w:jc w:val="left"/>
              <w:rPr>
                <w:rFonts w:ascii="Calibri" w:hAnsi="Calibri" w:cs="Calibri"/>
                <w:color w:val="2A00FF"/>
                <w:kern w:val="0"/>
                <w:sz w:val="20"/>
                <w:szCs w:val="20"/>
                <w:shd w:fill="E8F2FE" w:val="clear"/>
                <w:lang w:val="de-DE" w:bidi="ar-SA"/>
              </w:rPr>
            </w:pPr>
            <w:r>
              <w:rPr>
                <w:rFonts w:eastAsia="Calibri" w:cs="Calibri" w:ascii="Calibri" w:hAnsi="Calibri"/>
                <w:color w:val="2A00FF"/>
                <w:kern w:val="0"/>
                <w:sz w:val="20"/>
                <w:szCs w:val="20"/>
                <w:shd w:fill="E8F2FE" w:val="clear"/>
                <w:lang w:val="de-DE" w:eastAsia="en-US" w:bidi="ar-SA"/>
              </w:rPr>
              <w:t>/eidas/light/idp/redirect</w:t>
            </w:r>
          </w:p>
        </w:tc>
        <w:tc>
          <w:tcPr>
            <w:tcW w:w="6213" w:type="dxa"/>
            <w:tcBorders/>
          </w:tcPr>
          <w:p>
            <w:pPr>
              <w:pStyle w:val="Normal"/>
              <w:widowControl w:val="false"/>
              <w:spacing w:before="0" w:after="0"/>
              <w:jc w:val="left"/>
              <w:rPr>
                <w:rFonts w:ascii="Calibri" w:hAnsi="Calibri" w:cs="Calibri"/>
                <w:color w:val="000000"/>
                <w:sz w:val="18"/>
                <w:szCs w:val="18"/>
                <w:shd w:fill="FFFFFF" w:val="clear"/>
              </w:rPr>
            </w:pPr>
            <w:r>
              <w:rPr>
                <w:rFonts w:eastAsia="Calibri" w:cs="Calibri" w:ascii="Calibri" w:hAnsi="Calibri"/>
                <w:color w:val="000000"/>
                <w:kern w:val="0"/>
                <w:sz w:val="18"/>
                <w:szCs w:val="18"/>
                <w:shd w:fill="FFFFFF" w:val="clear"/>
                <w:lang w:eastAsia="en-US" w:bidi="ar-SA"/>
              </w:rPr>
              <w:t>Endpunkte für Kommunikation mit eIDAS Referenzimplementierung</w:t>
            </w:r>
          </w:p>
        </w:tc>
      </w:tr>
      <w:tr>
        <w:trPr/>
        <w:tc>
          <w:tcPr>
            <w:tcW w:w="3080" w:type="dxa"/>
            <w:tcBorders/>
          </w:tcPr>
          <w:p>
            <w:pPr>
              <w:pStyle w:val="Normal"/>
              <w:widowControl w:val="false"/>
              <w:spacing w:before="0" w:after="0"/>
              <w:jc w:val="left"/>
              <w:rPr>
                <w:rFonts w:ascii="Calibri" w:hAnsi="Calibri" w:eastAsia="Calibri" w:cs="Calibri"/>
                <w:color w:val="2A00FF"/>
                <w:sz w:val="20"/>
                <w:shd w:fill="E8F2FE" w:val="clear"/>
                <w:lang w:eastAsia="en-US"/>
              </w:rPr>
            </w:pPr>
            <w:r>
              <w:rPr>
                <w:rFonts w:eastAsia="Calibri" w:cs="Calibri" w:ascii="Calibri" w:hAnsi="Calibri"/>
                <w:color w:val="2A00FF"/>
                <w:sz w:val="20"/>
                <w:shd w:fill="E8F2FE" w:val="clear"/>
                <w:lang w:eastAsia="en-US"/>
              </w:rPr>
            </w:r>
          </w:p>
        </w:tc>
        <w:tc>
          <w:tcPr>
            <w:tcW w:w="6213" w:type="dxa"/>
            <w:tcBorders/>
          </w:tcPr>
          <w:p>
            <w:pPr>
              <w:pStyle w:val="Normal"/>
              <w:widowControl w:val="false"/>
              <w:spacing w:before="0" w:after="0"/>
              <w:jc w:val="left"/>
              <w:rPr>
                <w:rFonts w:ascii="Calibri" w:hAnsi="Calibri" w:cs="Calibri"/>
                <w:color w:val="000000"/>
                <w:sz w:val="18"/>
                <w:szCs w:val="18"/>
                <w:shd w:fill="FFFFFF" w:val="clear"/>
              </w:rPr>
            </w:pPr>
            <w:r>
              <w:rPr>
                <w:rFonts w:cs="Calibri" w:ascii="Calibri" w:hAnsi="Calibri"/>
                <w:color w:val="000000"/>
                <w:sz w:val="18"/>
                <w:szCs w:val="18"/>
                <w:shd w:fill="FFFFFF" w:val="clear"/>
              </w:rPr>
            </w:r>
          </w:p>
        </w:tc>
      </w:tr>
      <w:tr>
        <w:trPr/>
        <w:tc>
          <w:tcPr>
            <w:tcW w:w="3080" w:type="dxa"/>
            <w:tcBorders/>
          </w:tcPr>
          <w:p>
            <w:pPr>
              <w:pStyle w:val="Normal"/>
              <w:widowControl w:val="false"/>
              <w:spacing w:before="0" w:after="0"/>
              <w:jc w:val="left"/>
              <w:rPr/>
            </w:pPr>
            <w:r>
              <w:rPr>
                <w:rStyle w:val="Quelltext"/>
                <w:rFonts w:eastAsia="Calibri" w:cs="Calibri" w:ascii="Calibri" w:hAnsi="Calibri"/>
                <w:color w:val="2A00FF"/>
                <w:kern w:val="0"/>
                <w:sz w:val="20"/>
                <w:szCs w:val="20"/>
                <w:shd w:fill="E8F2FE" w:val="clear"/>
                <w:lang w:val="en-US" w:eastAsia="en-US" w:bidi="ar-SA"/>
              </w:rPr>
              <w:t>/sp/idaustria/eidas/metadata</w:t>
            </w:r>
          </w:p>
        </w:tc>
        <w:tc>
          <w:tcPr>
            <w:tcW w:w="6213" w:type="dxa"/>
            <w:tcBorders/>
          </w:tcPr>
          <w:p>
            <w:pPr>
              <w:pStyle w:val="Normal"/>
              <w:widowControl w:val="false"/>
              <w:spacing w:before="0" w:after="0"/>
              <w:jc w:val="left"/>
              <w:rPr>
                <w:rFonts w:ascii="Calibri" w:hAnsi="Calibri" w:cs="Calibri"/>
                <w:color w:val="000000"/>
                <w:sz w:val="18"/>
                <w:szCs w:val="18"/>
                <w:shd w:fill="FFFFFF" w:val="clear"/>
              </w:rPr>
            </w:pPr>
            <w:r>
              <w:rPr>
                <w:rFonts w:eastAsia="Calibri" w:cs="Calibri" w:ascii="Calibri" w:hAnsi="Calibri"/>
                <w:color w:val="000000"/>
                <w:kern w:val="0"/>
                <w:sz w:val="18"/>
                <w:szCs w:val="18"/>
                <w:shd w:fill="FFFFFF" w:val="clear"/>
                <w:lang w:eastAsia="en-US" w:bidi="ar-SA"/>
              </w:rPr>
              <w:t>SAML2 Metadaten des ID Austria Clients im MS-Proxy-Service</w:t>
            </w:r>
          </w:p>
        </w:tc>
      </w:tr>
      <w:tr>
        <w:trPr/>
        <w:tc>
          <w:tcPr>
            <w:tcW w:w="3080" w:type="dxa"/>
            <w:tcBorders/>
          </w:tcPr>
          <w:p>
            <w:pPr>
              <w:pStyle w:val="Normal"/>
              <w:widowControl w:val="false"/>
              <w:spacing w:before="0" w:after="0"/>
              <w:jc w:val="left"/>
              <w:rPr/>
            </w:pPr>
            <w:r>
              <w:rPr>
                <w:rStyle w:val="Quelltext"/>
                <w:rFonts w:eastAsia="Calibri" w:cs="Calibri" w:ascii="Calibri" w:hAnsi="Calibri"/>
                <w:color w:val="2A00FF"/>
                <w:kern w:val="0"/>
                <w:sz w:val="20"/>
                <w:szCs w:val="20"/>
                <w:shd w:fill="E8F2FE" w:val="clear"/>
                <w:lang w:val="en-US" w:eastAsia="en-US" w:bidi="ar-SA"/>
              </w:rPr>
              <w:t>/sp/idaustria/eidas/post</w:t>
            </w:r>
          </w:p>
        </w:tc>
        <w:tc>
          <w:tcPr>
            <w:tcW w:w="6213" w:type="dxa"/>
            <w:tcBorders/>
          </w:tcPr>
          <w:p>
            <w:pPr>
              <w:pStyle w:val="Normal"/>
              <w:widowControl w:val="false"/>
              <w:spacing w:before="0" w:after="0"/>
              <w:jc w:val="left"/>
              <w:rPr>
                <w:rFonts w:ascii="Calibri" w:hAnsi="Calibri" w:cs="Calibri"/>
                <w:color w:val="000000"/>
                <w:sz w:val="18"/>
                <w:szCs w:val="18"/>
                <w:shd w:fill="FFFFFF" w:val="clear"/>
              </w:rPr>
            </w:pPr>
            <w:r>
              <w:rPr>
                <w:rFonts w:eastAsia="Calibri" w:cs="Calibri" w:ascii="Calibri" w:hAnsi="Calibri"/>
                <w:color w:val="000000"/>
                <w:kern w:val="0"/>
                <w:sz w:val="18"/>
                <w:szCs w:val="18"/>
                <w:shd w:fill="FFFFFF" w:val="clear"/>
                <w:lang w:eastAsia="en-US" w:bidi="ar-SA"/>
              </w:rPr>
              <w:t>SAML2 POST-Binding Endpunkt des ID Austria Clients im MS-Proxy-Service</w:t>
            </w:r>
          </w:p>
        </w:tc>
      </w:tr>
      <w:tr>
        <w:trPr/>
        <w:tc>
          <w:tcPr>
            <w:tcW w:w="3080" w:type="dxa"/>
            <w:tcBorders/>
          </w:tcPr>
          <w:p>
            <w:pPr>
              <w:pStyle w:val="Normal"/>
              <w:widowControl w:val="false"/>
              <w:spacing w:before="0" w:after="0"/>
              <w:ind w:hanging="0"/>
              <w:jc w:val="left"/>
              <w:rPr/>
            </w:pPr>
            <w:r>
              <w:rPr>
                <w:rStyle w:val="Quelltext"/>
                <w:rFonts w:eastAsia="Calibri" w:cs="Calibri" w:ascii="Calibri" w:hAnsi="Calibri"/>
                <w:b w:val="false"/>
                <w:bCs w:val="false"/>
                <w:color w:val="2A00FF"/>
                <w:kern w:val="0"/>
                <w:sz w:val="20"/>
                <w:szCs w:val="20"/>
                <w:shd w:fill="E8F2FE" w:val="clear"/>
                <w:lang w:val="en-US" w:eastAsia="en-US" w:bidi="ar-SA"/>
              </w:rPr>
              <w:t>/sp/idaustria/eidas/redirect</w:t>
            </w:r>
          </w:p>
        </w:tc>
        <w:tc>
          <w:tcPr>
            <w:tcW w:w="6213" w:type="dxa"/>
            <w:tcBorders/>
          </w:tcPr>
          <w:p>
            <w:pPr>
              <w:pStyle w:val="Normal"/>
              <w:widowControl w:val="false"/>
              <w:spacing w:before="0" w:after="0"/>
              <w:ind w:hanging="0"/>
              <w:jc w:val="left"/>
              <w:rPr>
                <w:rFonts w:ascii="Calibri" w:hAnsi="Calibri" w:eastAsia="Calibri" w:cs="Calibri"/>
                <w:b w:val="false"/>
                <w:b w:val="false"/>
                <w:bCs w:val="false"/>
                <w:color w:val="000000"/>
                <w:kern w:val="0"/>
                <w:sz w:val="18"/>
                <w:szCs w:val="18"/>
                <w:shd w:fill="FFFFFF" w:val="clear"/>
                <w:lang w:val="de-DE" w:eastAsia="en-US" w:bidi="ar-SA"/>
              </w:rPr>
            </w:pPr>
            <w:r>
              <w:rPr>
                <w:rFonts w:eastAsia="Calibri" w:cs="Calibri" w:ascii="Calibri" w:hAnsi="Calibri"/>
                <w:b w:val="false"/>
                <w:bCs w:val="false"/>
                <w:color w:val="000000"/>
                <w:kern w:val="0"/>
                <w:sz w:val="18"/>
                <w:szCs w:val="18"/>
                <w:shd w:fill="FFFFFF" w:val="clear"/>
                <w:lang w:val="de-DE" w:eastAsia="en-US" w:bidi="ar-SA"/>
              </w:rPr>
              <w:t>SAML2 Redirect-Binding Endpunkt des ID Austria Clients im MS-Proxy-Service</w:t>
            </w:r>
          </w:p>
        </w:tc>
      </w:tr>
      <w:tr>
        <w:trPr/>
        <w:tc>
          <w:tcPr>
            <w:tcW w:w="3080" w:type="dxa"/>
            <w:tcBorders/>
          </w:tcPr>
          <w:p>
            <w:pPr>
              <w:pStyle w:val="Normal"/>
              <w:widowControl w:val="false"/>
              <w:spacing w:before="0" w:after="0"/>
              <w:jc w:val="left"/>
              <w:rPr>
                <w:rFonts w:ascii="Calibri" w:hAnsi="Calibri" w:eastAsia="Calibri" w:cs="Calibri"/>
                <w:color w:val="2A00FF"/>
                <w:sz w:val="20"/>
                <w:shd w:fill="E8F2FE" w:val="clear"/>
                <w:lang w:eastAsia="en-US"/>
              </w:rPr>
            </w:pPr>
            <w:r>
              <w:rPr>
                <w:rFonts w:eastAsia="Calibri" w:cs="Calibri" w:ascii="Calibri" w:hAnsi="Calibri"/>
                <w:color w:val="2A00FF"/>
                <w:sz w:val="20"/>
                <w:shd w:fill="E8F2FE" w:val="clear"/>
                <w:lang w:eastAsia="en-US"/>
              </w:rPr>
            </w:r>
          </w:p>
        </w:tc>
        <w:tc>
          <w:tcPr>
            <w:tcW w:w="6213" w:type="dxa"/>
            <w:tcBorders/>
          </w:tcPr>
          <w:p>
            <w:pPr>
              <w:pStyle w:val="Normal"/>
              <w:widowControl w:val="false"/>
              <w:spacing w:before="0" w:after="0"/>
              <w:jc w:val="left"/>
              <w:rPr>
                <w:rFonts w:ascii="Calibri" w:hAnsi="Calibri" w:cs="Calibri"/>
                <w:color w:val="000000"/>
                <w:sz w:val="18"/>
                <w:szCs w:val="18"/>
                <w:shd w:fill="FFFFFF" w:val="clear"/>
              </w:rPr>
            </w:pPr>
            <w:r>
              <w:rPr>
                <w:rFonts w:cs="Calibri" w:ascii="Calibri" w:hAnsi="Calibri"/>
                <w:color w:val="000000"/>
                <w:sz w:val="18"/>
                <w:szCs w:val="18"/>
                <w:shd w:fill="FFFFFF" w:val="clear"/>
              </w:rPr>
            </w:r>
          </w:p>
        </w:tc>
      </w:tr>
      <w:tr>
        <w:trPr/>
        <w:tc>
          <w:tcPr>
            <w:tcW w:w="3080" w:type="dxa"/>
            <w:tcBorders/>
          </w:tcPr>
          <w:p>
            <w:pPr>
              <w:pStyle w:val="Normal"/>
              <w:widowControl w:val="false"/>
              <w:spacing w:before="0" w:after="0"/>
              <w:jc w:val="left"/>
              <w:rPr>
                <w:rFonts w:ascii="Calibri" w:hAnsi="Calibri" w:cs="Calibri"/>
                <w:color w:val="2A00FF"/>
                <w:sz w:val="20"/>
                <w:shd w:fill="E8F2FE" w:val="clear"/>
              </w:rPr>
            </w:pPr>
            <w:r>
              <w:rPr>
                <w:rFonts w:eastAsia="Calibri" w:cs="Calibri" w:ascii="Calibri" w:hAnsi="Calibri"/>
                <w:color w:val="2A00FF"/>
                <w:kern w:val="0"/>
                <w:sz w:val="20"/>
                <w:szCs w:val="20"/>
                <w:shd w:fill="E8F2FE" w:val="clear"/>
                <w:lang w:val="en-US" w:eastAsia="en-US" w:bidi="ar-SA"/>
              </w:rPr>
              <w:t>/actuator/*</w:t>
            </w:r>
          </w:p>
        </w:tc>
        <w:tc>
          <w:tcPr>
            <w:tcW w:w="6213" w:type="dxa"/>
            <w:tcBorders/>
          </w:tcPr>
          <w:p>
            <w:pPr>
              <w:pStyle w:val="Normal"/>
              <w:widowControl w:val="false"/>
              <w:spacing w:before="0" w:after="0"/>
              <w:jc w:val="left"/>
              <w:rPr>
                <w:rFonts w:ascii="Calibri" w:hAnsi="Calibri" w:cs="Calibri"/>
                <w:color w:val="000000"/>
                <w:sz w:val="18"/>
                <w:szCs w:val="18"/>
                <w:shd w:fill="FFFFFF" w:val="clear"/>
                <w:lang w:val="en-US"/>
              </w:rPr>
            </w:pPr>
            <w:r>
              <w:rPr>
                <w:rFonts w:eastAsia="Calibri" w:cs="Calibri" w:ascii="Calibri" w:hAnsi="Calibri"/>
                <w:color w:val="000000"/>
                <w:kern w:val="0"/>
                <w:sz w:val="18"/>
                <w:szCs w:val="18"/>
                <w:shd w:fill="FFFFFF" w:val="clear"/>
                <w:lang w:val="en-US" w:eastAsia="en-US" w:bidi="ar-SA"/>
              </w:rPr>
              <w:t>Spring Actuator HealthCheck und Infos</w:t>
            </w:r>
          </w:p>
        </w:tc>
      </w:tr>
    </w:tbl>
    <w:p>
      <w:pPr>
        <w:pStyle w:val="Normal"/>
        <w:rPr>
          <w:rFonts w:ascii="Calibri" w:hAnsi="Calibri" w:cs="Calibri"/>
          <w:lang w:val="en-US"/>
        </w:rPr>
      </w:pPr>
      <w:r>
        <w:rPr>
          <w:rFonts w:cs="Calibri" w:ascii="Calibri" w:hAnsi="Calibri"/>
          <w:lang w:val="en-US"/>
        </w:rPr>
      </w:r>
    </w:p>
    <w:p>
      <w:pPr>
        <w:pStyle w:val="Textkrper"/>
        <w:rPr>
          <w:rFonts w:ascii="Calibri" w:hAnsi="Calibri" w:cs="Calibri"/>
          <w:lang w:val="en-US"/>
        </w:rPr>
      </w:pPr>
      <w:r>
        <w:rPr>
          <w:rFonts w:cs="Calibri" w:ascii="Calibri" w:hAnsi="Calibri"/>
          <w:lang w:val="en-US"/>
        </w:rPr>
      </w:r>
    </w:p>
    <w:p>
      <w:pPr>
        <w:pStyle w:val="Berschrift2"/>
        <w:ind w:left="709" w:hanging="709"/>
        <w:rPr>
          <w:rFonts w:ascii="Calibri" w:hAnsi="Calibri" w:cs="Calibri"/>
        </w:rPr>
      </w:pPr>
      <w:bookmarkStart w:id="8" w:name="__RefHeading___Toc3368_3963215250"/>
      <w:bookmarkStart w:id="9" w:name="_Toc4"/>
      <w:bookmarkEnd w:id="8"/>
      <w:r>
        <w:rPr>
          <w:rFonts w:cs="Calibri" w:ascii="Calibri" w:hAnsi="Calibri"/>
        </w:rPr>
        <w:t>Konfigurationsparameter</w:t>
      </w:r>
      <w:bookmarkEnd w:id="9"/>
    </w:p>
    <w:p>
      <w:pPr>
        <w:pStyle w:val="Textkrper"/>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t>Die Applikation im ‚war‘ enthält eine Basiskonfiguration mit Defaultwerten diese ist jedoch von sich aus nicht lauffähig. Eine Standardkonfiguration befindet sich im Verzeichnis config/ des Releasepacket.</w:t>
      </w:r>
    </w:p>
    <w:p>
      <w:pPr>
        <w:pStyle w:val="Textkrper"/>
        <w:rPr>
          <w:rFonts w:ascii="Calibri" w:hAnsi="Calibri" w:cs="Calibri"/>
        </w:rPr>
      </w:pPr>
      <w:r>
        <w:rPr>
          <w:rFonts w:cs="Calibri" w:ascii="Calibri" w:hAnsi="Calibri"/>
        </w:rPr>
        <w:t>Die Pfad zur Konfiguration muss mittels Java SystemD Parameter</w:t>
      </w:r>
    </w:p>
    <w:p>
      <w:pPr>
        <w:pStyle w:val="Textkrper"/>
        <w:widowControl/>
        <w:numPr>
          <w:ilvl w:val="0"/>
          <w:numId w:val="6"/>
        </w:numPr>
        <w:suppressAutoHyphens w:val="true"/>
        <w:bidi w:val="0"/>
        <w:spacing w:before="0" w:after="0"/>
        <w:ind w:left="454" w:right="0" w:hanging="170"/>
        <w:jc w:val="both"/>
        <w:rPr/>
      </w:pPr>
      <w:r>
        <w:rPr>
          <w:rFonts w:eastAsia="Noto Serif CJK SC" w:cs="Calibri" w:ascii="Calibri" w:hAnsi="Calibri"/>
          <w:b w:val="false"/>
          <w:bCs w:val="false"/>
          <w:i/>
          <w:iCs/>
          <w:color w:val="auto"/>
          <w:kern w:val="0"/>
          <w:sz w:val="22"/>
          <w:szCs w:val="20"/>
          <w:lang w:val="de-DE" w:eastAsia="ar-SA" w:bidi="ar-SA"/>
        </w:rPr>
        <w:t>-Deidas.ms-proxy.configuration=/path/to/configuration/</w:t>
      </w:r>
      <w:r>
        <w:rPr>
          <w:rFonts w:eastAsia="Noto Serif CJK SC" w:cs="Calibri" w:ascii="Calibri" w:hAnsi="Calibri"/>
          <w:b w:val="false"/>
          <w:bCs w:val="false"/>
          <w:i/>
          <w:iCs/>
          <w:color w:val="000000"/>
          <w:kern w:val="0"/>
          <w:sz w:val="22"/>
          <w:szCs w:val="20"/>
          <w:shd w:fill="FFFFFF" w:val="clear"/>
          <w:lang w:val="de-DE" w:eastAsia="ar-SA" w:bidi="ar-SA"/>
        </w:rPr>
        <w:t>default_config.properties</w:t>
      </w:r>
    </w:p>
    <w:p>
      <w:pPr>
        <w:pStyle w:val="Textkrper"/>
        <w:rPr>
          <w:rFonts w:ascii="Calibri" w:hAnsi="Calibri" w:cs="Calibri"/>
          <w:lang w:val="en-US"/>
        </w:rPr>
      </w:pPr>
      <w:r>
        <w:rPr>
          <w:rFonts w:cs="Calibri" w:ascii="Calibri" w:hAnsi="Calibri"/>
        </w:rPr>
        <w:t>festgelegt werden.</w:t>
      </w:r>
    </w:p>
    <w:p>
      <w:pPr>
        <w:pStyle w:val="Textkrper"/>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t xml:space="preserve">Für die Kommunikation mit dem eIDAS Node benötigt das MS-Proxy-Service auch eine Referenz auf die eIDAS Node Konfiguration. Der hierfür benötigte Konfigurationsteil aus der eIDAS Node ist ebenfalls in der Standardkonfiguration im Verzeichnis </w:t>
      </w:r>
      <w:r>
        <w:rPr>
          <w:rFonts w:cs="Calibri" w:ascii="Calibri" w:hAnsi="Calibri"/>
          <w:i/>
          <w:iCs/>
        </w:rPr>
        <w:t>config/eIDAS/</w:t>
      </w:r>
      <w:r>
        <w:rPr>
          <w:rFonts w:cs="Calibri" w:ascii="Calibri" w:hAnsi="Calibri"/>
        </w:rPr>
        <w:t xml:space="preserve"> beigelegt. Der Pfad zu dieser Konfiguration muss mittels der JAVA SystemD Parameter:</w:t>
      </w:r>
    </w:p>
    <w:p>
      <w:pPr>
        <w:pStyle w:val="Textkrper"/>
        <w:widowControl/>
        <w:numPr>
          <w:ilvl w:val="0"/>
          <w:numId w:val="5"/>
        </w:numPr>
        <w:suppressAutoHyphens w:val="true"/>
        <w:bidi w:val="0"/>
        <w:spacing w:before="0" w:after="0"/>
        <w:ind w:left="397" w:right="0" w:hanging="170"/>
        <w:jc w:val="both"/>
        <w:rPr>
          <w:rFonts w:ascii="Calibri" w:hAnsi="Calibri" w:cs="Calibri"/>
          <w:b w:val="false"/>
          <w:b w:val="false"/>
          <w:bCs w:val="false"/>
          <w:i/>
          <w:i/>
          <w:iCs/>
        </w:rPr>
      </w:pPr>
      <w:r>
        <w:rPr>
          <w:rFonts w:cs="Calibri" w:ascii="Calibri" w:hAnsi="Calibri"/>
          <w:b w:val="false"/>
          <w:bCs w:val="false"/>
          <w:i/>
          <w:iCs/>
        </w:rPr>
        <w:t>-DEIDAS_CONFIG_REPOSITORY=/path/to/configuration/eIDAS/</w:t>
      </w:r>
    </w:p>
    <w:p>
      <w:pPr>
        <w:pStyle w:val="Textkrper"/>
        <w:widowControl/>
        <w:numPr>
          <w:ilvl w:val="0"/>
          <w:numId w:val="5"/>
        </w:numPr>
        <w:suppressAutoHyphens w:val="true"/>
        <w:bidi w:val="0"/>
        <w:spacing w:before="0" w:after="0"/>
        <w:ind w:left="397" w:right="0" w:hanging="170"/>
        <w:jc w:val="both"/>
        <w:rPr>
          <w:rFonts w:ascii="Calibri" w:hAnsi="Calibri" w:cs="Calibri"/>
          <w:b w:val="false"/>
          <w:b w:val="false"/>
          <w:bCs w:val="false"/>
          <w:i/>
          <w:i/>
          <w:iCs/>
        </w:rPr>
      </w:pPr>
      <w:r>
        <w:rPr>
          <w:rFonts w:cs="Calibri" w:ascii="Calibri" w:hAnsi="Calibri"/>
          <w:b w:val="false"/>
          <w:bCs w:val="false"/>
          <w:i/>
          <w:iCs/>
        </w:rPr>
        <w:t>-DSPECIFIC_CONNECTOR_CONFIG_REPOSITORY=/path/to/configuration/eIDAS/</w:t>
      </w:r>
    </w:p>
    <w:p>
      <w:pPr>
        <w:pStyle w:val="Textkrper"/>
        <w:widowControl/>
        <w:numPr>
          <w:ilvl w:val="0"/>
          <w:numId w:val="5"/>
        </w:numPr>
        <w:suppressAutoHyphens w:val="true"/>
        <w:bidi w:val="0"/>
        <w:spacing w:before="0" w:after="0"/>
        <w:ind w:left="397" w:right="0" w:hanging="170"/>
        <w:jc w:val="both"/>
        <w:rPr>
          <w:rFonts w:ascii="Calibri" w:hAnsi="Calibri" w:cs="Calibri"/>
          <w:i/>
          <w:i/>
          <w:iCs/>
        </w:rPr>
      </w:pPr>
      <w:r>
        <w:rPr>
          <w:rFonts w:cs="Calibri" w:ascii="Calibri" w:hAnsi="Calibri"/>
          <w:b w:val="false"/>
          <w:bCs w:val="false"/>
          <w:i/>
          <w:iCs/>
        </w:rPr>
        <w:t>-DSPECIFIC_PROXY_SERVICE_CONFIG_REPOSITORY=/path/to/configuration/eIDAS</w:t>
      </w:r>
      <w:r>
        <w:rPr>
          <w:rFonts w:cs="Calibri" w:ascii="Calibri" w:hAnsi="Calibri"/>
          <w:i/>
          <w:iCs/>
        </w:rPr>
        <w:t>/</w:t>
      </w:r>
    </w:p>
    <w:p>
      <w:pPr>
        <w:pStyle w:val="Textkrper"/>
        <w:rPr>
          <w:rFonts w:ascii="Calibri" w:hAnsi="Calibri" w:cs="Calibri"/>
        </w:rPr>
      </w:pPr>
      <w:r>
        <w:rPr>
          <w:rFonts w:cs="Calibri" w:ascii="Calibri" w:hAnsi="Calibri"/>
        </w:rPr>
        <w:t>festgelegt werden.</w:t>
      </w:r>
    </w:p>
    <w:p>
      <w:pPr>
        <w:pStyle w:val="Textkrper"/>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t>Die Anwendungskonfiguration mit minimal erforderlichen Konfigurationsparametern befindet sich unter config/default_config.properties. Nachfolgend sind alle möglichen Konfigurationsparameter im Detail beschrieben.</w:t>
      </w:r>
    </w:p>
    <w:p>
      <w:pPr>
        <w:pStyle w:val="Textkrper"/>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t>Der Applikation ist eine interne Logging-Konfiguration beigelegt welche auf Systemkonsole des Applikationsservers schreibt. Eine externe Loggingkonfiguration kann mittels Java SystemD Parameter</w:t>
      </w:r>
    </w:p>
    <w:p>
      <w:pPr>
        <w:pStyle w:val="Textkrper"/>
        <w:widowControl/>
        <w:numPr>
          <w:ilvl w:val="0"/>
          <w:numId w:val="7"/>
        </w:numPr>
        <w:suppressAutoHyphens w:val="true"/>
        <w:bidi w:val="0"/>
        <w:spacing w:before="0" w:after="0"/>
        <w:ind w:left="454" w:right="0" w:hanging="170"/>
        <w:jc w:val="both"/>
        <w:rPr>
          <w:rFonts w:ascii="Calibri" w:hAnsi="Calibri" w:cs="Calibri"/>
        </w:rPr>
      </w:pPr>
      <w:r>
        <w:rPr>
          <w:rFonts w:eastAsia="Noto Serif CJK SC" w:cs="Calibri" w:ascii="Calibri" w:hAnsi="Calibri"/>
          <w:b w:val="false"/>
          <w:bCs w:val="false"/>
          <w:i/>
          <w:iCs/>
          <w:color w:val="000000"/>
          <w:kern w:val="0"/>
          <w:sz w:val="22"/>
          <w:szCs w:val="20"/>
          <w:shd w:fill="FFFFFF" w:val="clear"/>
          <w:lang w:val="de-DE" w:eastAsia="ar-SA" w:bidi="ar-SA"/>
        </w:rPr>
        <w:t xml:space="preserve">-Dlogging.config=file:/path/to/configuration/logback_config.xml </w:t>
      </w:r>
    </w:p>
    <w:p>
      <w:pPr>
        <w:pStyle w:val="Textkrper"/>
        <w:rPr>
          <w:rFonts w:ascii="Calibri" w:hAnsi="Calibri" w:cs="Calibri"/>
        </w:rPr>
      </w:pPr>
      <w:r>
        <w:rPr>
          <w:rFonts w:cs="Calibri" w:ascii="Calibri" w:hAnsi="Calibri"/>
        </w:rPr>
        <w:t>festgelegt werden.</w:t>
      </w:r>
    </w:p>
    <w:p>
      <w:pPr>
        <w:pStyle w:val="Textkrper"/>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r>
    </w:p>
    <w:p>
      <w:pPr>
        <w:pStyle w:val="Berschrift3"/>
        <w:numPr>
          <w:ilvl w:val="3"/>
          <w:numId w:val="22"/>
        </w:numPr>
        <w:ind w:left="709" w:hanging="709"/>
        <w:rPr>
          <w:rFonts w:ascii="Calibri" w:hAnsi="Calibri" w:cs="Calibri"/>
        </w:rPr>
      </w:pPr>
      <w:bookmarkStart w:id="10" w:name="__RefHeading___Toc3372_3963215250"/>
      <w:bookmarkEnd w:id="10"/>
      <w:r>
        <w:rPr>
          <w:rFonts w:cs="Calibri" w:ascii="Calibri" w:hAnsi="Calibri"/>
        </w:rPr>
        <w:t>SpringBoot Module</w:t>
      </w:r>
    </w:p>
    <w:p>
      <w:pPr>
        <w:pStyle w:val="Textkrper"/>
        <w:rPr>
          <w:rFonts w:ascii="Calibri" w:hAnsi="Calibri" w:cs="Calibri"/>
        </w:rPr>
      </w:pPr>
      <w:r>
        <w:rPr>
          <w:rFonts w:cs="Calibri" w:ascii="Calibri" w:hAnsi="Calibri"/>
        </w:rPr>
      </w:r>
    </w:p>
    <w:tbl>
      <w:tblPr>
        <w:tblStyle w:val="1045"/>
        <w:tblW w:w="9298"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0"/>
        <w:gridCol w:w="1865"/>
        <w:gridCol w:w="3963"/>
      </w:tblGrid>
      <w:tr>
        <w:trPr/>
        <w:tc>
          <w:tcPr>
            <w:tcW w:w="3470"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865"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3963"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70" w:type="dxa"/>
            <w:tcBorders/>
          </w:tcPr>
          <w:p>
            <w:pPr>
              <w:pStyle w:val="Normal"/>
              <w:widowControl w:val="false"/>
              <w:spacing w:before="0" w:after="0"/>
              <w:jc w:val="left"/>
              <w:rPr>
                <w:rFonts w:ascii="Calibri" w:hAnsi="Calibri" w:cs="Calibri"/>
              </w:rPr>
            </w:pPr>
            <w:r>
              <w:rPr>
                <w:rFonts w:eastAsia="Calibri" w:cs="Calibri" w:ascii="Calibri" w:hAnsi="Calibri"/>
                <w:color w:val="000000"/>
                <w:kern w:val="0"/>
                <w:sz w:val="18"/>
                <w:szCs w:val="18"/>
                <w:shd w:fill="FFFFFF" w:val="clear"/>
                <w:lang w:eastAsia="en-US" w:bidi="ar-SA"/>
              </w:rPr>
              <w:t>spring.application.name</w:t>
            </w:r>
          </w:p>
        </w:tc>
        <w:tc>
          <w:tcPr>
            <w:tcW w:w="1865" w:type="dxa"/>
            <w:tcBorders/>
          </w:tcPr>
          <w:p>
            <w:pPr>
              <w:pStyle w:val="Normal"/>
              <w:widowControl w:val="false"/>
              <w:spacing w:before="0" w:after="0"/>
              <w:jc w:val="left"/>
              <w:rPr>
                <w:rFonts w:ascii="Calibri" w:hAnsi="Calibri" w:cs="Calibri"/>
                <w:sz w:val="18"/>
              </w:rPr>
            </w:pPr>
            <w:r>
              <w:rPr>
                <w:rFonts w:eastAsia="Calibri" w:cs="Calibri" w:ascii="Calibri" w:hAnsi="Calibri"/>
                <w:b/>
                <w:color w:val="404040"/>
                <w:kern w:val="0"/>
                <w:sz w:val="18"/>
                <w:szCs w:val="20"/>
                <w:lang w:eastAsia="en-US" w:bidi="ar-SA"/>
              </w:rPr>
              <w:t xml:space="preserve">Default: </w:t>
            </w:r>
            <w:r>
              <w:rPr>
                <w:rFonts w:eastAsia="Calibri" w:cs="Calibri" w:ascii="Calibri" w:hAnsi="Calibri"/>
                <w:b w:val="false"/>
                <w:bCs w:val="false"/>
                <w:color w:val="404040"/>
                <w:kern w:val="0"/>
                <w:sz w:val="18"/>
                <w:szCs w:val="20"/>
                <w:lang w:eastAsia="en-US" w:bidi="ar-SA"/>
              </w:rPr>
              <w:t>ms_proxyservice</w:t>
            </w:r>
          </w:p>
        </w:tc>
        <w:tc>
          <w:tcPr>
            <w:tcW w:w="3963" w:type="dxa"/>
            <w:tcBorders/>
          </w:tcPr>
          <w:p>
            <w:pPr>
              <w:pStyle w:val="Normal"/>
              <w:widowControl w:val="false"/>
              <w:spacing w:before="0" w:after="0"/>
              <w:jc w:val="left"/>
              <w:rPr>
                <w:rFonts w:ascii="Calibri" w:hAnsi="Calibri" w:cs="Calibri"/>
                <w:sz w:val="18"/>
                <w:szCs w:val="18"/>
              </w:rPr>
            </w:pPr>
            <w:r>
              <w:rPr>
                <w:rFonts w:eastAsia="Calibri" w:cs="Calibri" w:ascii="Calibri" w:hAnsi="Calibri"/>
                <w:color w:val="404040"/>
                <w:kern w:val="0"/>
                <w:sz w:val="18"/>
                <w:szCs w:val="18"/>
                <w:lang w:eastAsia="en-US" w:bidi="ar-SA"/>
              </w:rPr>
              <w:t>Applikationsname</w:t>
            </w:r>
          </w:p>
        </w:tc>
      </w:tr>
      <w:tr>
        <w:trPr/>
        <w:tc>
          <w:tcPr>
            <w:tcW w:w="3470"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spring.boot.admin.client.enabled</w:t>
            </w:r>
          </w:p>
        </w:tc>
        <w:tc>
          <w:tcPr>
            <w:tcW w:w="1865" w:type="dxa"/>
            <w:tcBorders/>
          </w:tcPr>
          <w:p>
            <w:pPr>
              <w:pStyle w:val="Normal"/>
              <w:widowControl w:val="false"/>
              <w:spacing w:before="0" w:after="0"/>
              <w:jc w:val="left"/>
              <w:rPr>
                <w:rFonts w:ascii="Calibri" w:hAnsi="Calibri" w:cs="Calibri"/>
                <w:sz w:val="18"/>
              </w:rPr>
            </w:pPr>
            <w:r>
              <w:rPr>
                <w:rFonts w:eastAsia="Calibri" w:cs="Calibri" w:ascii="Calibri" w:hAnsi="Calibri"/>
                <w:kern w:val="0"/>
                <w:sz w:val="18"/>
                <w:szCs w:val="22"/>
                <w:lang w:val="en-US" w:eastAsia="en-US" w:bidi="ar-SA"/>
              </w:rPr>
              <w:t>true / false</w:t>
            </w:r>
          </w:p>
          <w:p>
            <w:pPr>
              <w:pStyle w:val="Normal"/>
              <w:widowControl w:val="false"/>
              <w:spacing w:before="0" w:after="0"/>
              <w:jc w:val="left"/>
              <w:rPr>
                <w:rFonts w:ascii="Calibri" w:hAnsi="Calibri" w:cs="Calibri"/>
                <w:sz w:val="18"/>
              </w:rPr>
            </w:pPr>
            <w:r>
              <w:rPr>
                <w:rFonts w:eastAsia="Calibri" w:cs="Calibri" w:ascii="Calibri" w:hAnsi="Calibri"/>
                <w:b/>
                <w:kern w:val="0"/>
                <w:sz w:val="18"/>
                <w:szCs w:val="22"/>
                <w:lang w:eastAsia="en-US" w:bidi="ar-SA"/>
              </w:rPr>
              <w:t>Default:</w:t>
            </w:r>
            <w:r>
              <w:rPr>
                <w:rFonts w:eastAsia="Calibri" w:cs="Calibri" w:ascii="Calibri" w:hAnsi="Calibri"/>
                <w:kern w:val="0"/>
                <w:sz w:val="18"/>
                <w:szCs w:val="22"/>
                <w:lang w:eastAsia="en-US" w:bidi="ar-SA"/>
              </w:rPr>
              <w:t xml:space="preserve"> false</w:t>
            </w:r>
          </w:p>
        </w:tc>
        <w:tc>
          <w:tcPr>
            <w:tcW w:w="3963" w:type="dxa"/>
            <w:tcBorders/>
          </w:tcPr>
          <w:p>
            <w:pPr>
              <w:pStyle w:val="Normal"/>
              <w:widowControl w:val="false"/>
              <w:spacing w:before="0" w:after="0"/>
              <w:jc w:val="left"/>
              <w:rPr>
                <w:rFonts w:ascii="Calibri" w:hAnsi="Calibri" w:cs="Calibri"/>
                <w:sz w:val="18"/>
              </w:rPr>
            </w:pPr>
            <w:r>
              <w:rPr>
                <w:rFonts w:eastAsia="Calibri" w:cs="Calibri" w:ascii="Calibri" w:hAnsi="Calibri"/>
                <w:kern w:val="0"/>
                <w:sz w:val="18"/>
                <w:szCs w:val="18"/>
                <w:lang w:eastAsia="en-US" w:bidi="ar-SA"/>
              </w:rPr>
              <w:t>Aktiviert oder deaktiviert den SpringBoot Admin Client</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3"/>
          <w:numId w:val="23"/>
        </w:numPr>
        <w:ind w:left="709" w:hanging="709"/>
        <w:rPr>
          <w:rFonts w:ascii="Calibri" w:hAnsi="Calibri" w:cs="Calibri"/>
        </w:rPr>
      </w:pPr>
      <w:bookmarkStart w:id="11" w:name="__RefHeading___Toc3535_3963215250"/>
      <w:bookmarkEnd w:id="11"/>
      <w:r>
        <w:rPr>
          <w:rFonts w:cs="Calibri" w:ascii="Calibri" w:hAnsi="Calibri"/>
        </w:rPr>
        <w:t>Logging</w:t>
      </w:r>
    </w:p>
    <w:p>
      <w:pPr>
        <w:pStyle w:val="Textkrper"/>
        <w:rPr>
          <w:rFonts w:ascii="Calibri" w:hAnsi="Calibri" w:cs="Calibri"/>
        </w:rPr>
      </w:pPr>
      <w:r>
        <w:rPr>
          <w:rFonts w:cs="Calibri" w:ascii="Calibri" w:hAnsi="Calibri"/>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1"/>
        <w:gridCol w:w="1702"/>
        <w:gridCol w:w="4121"/>
      </w:tblGrid>
      <w:tr>
        <w:trPr/>
        <w:tc>
          <w:tcPr>
            <w:tcW w:w="347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702"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412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eidas.ms.core.logging.level.info.errorcodes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CSV Liste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color w:val="000000"/>
                <w:kern w:val="0"/>
                <w:sz w:val="18"/>
                <w:szCs w:val="18"/>
                <w:shd w:fill="FFFFFF" w:val="clear"/>
                <w:lang w:eastAsia="en-US" w:bidi="ar-SA"/>
              </w:rPr>
              <w:t>auth.21</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Liste von CSV getrennten internen StatusCodes, welche im Fehlerfall anstatt mit LogLevel „INFO“ anstatt „WARN“ geloggt werden sollen</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u w:val="single"/>
                <w:shd w:fill="FFFFFF" w:val="clear"/>
                <w:lang w:eastAsia="en-US" w:bidi="ar-SA"/>
              </w:rPr>
              <w:t>eidas.ms.revisionlog.logIPAddressOfUser</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true / false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true</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Aktiviert / Deaktivert das Logging der IP Adresse der aufrufenden Stelle in den Revisionslog</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3"/>
          <w:numId w:val="24"/>
        </w:numPr>
        <w:ind w:left="709" w:hanging="709"/>
        <w:rPr>
          <w:rFonts w:ascii="Calibri" w:hAnsi="Calibri" w:cs="Calibri"/>
        </w:rPr>
      </w:pPr>
      <w:bookmarkStart w:id="12" w:name="__RefHeading___Toc3537_3963215250"/>
      <w:bookmarkEnd w:id="12"/>
      <w:r>
        <w:rPr>
          <w:rFonts w:cs="Calibri" w:ascii="Calibri" w:hAnsi="Calibri"/>
        </w:rPr>
        <w:t>Basiskonfigurationsparameter</w:t>
      </w:r>
    </w:p>
    <w:p>
      <w:pPr>
        <w:pStyle w:val="Textkrper"/>
        <w:rPr>
          <w:rFonts w:ascii="Calibri" w:hAnsi="Calibri" w:cs="Calibri"/>
        </w:rPr>
      </w:pPr>
      <w:r>
        <w:rPr>
          <w:rFonts w:cs="Calibri" w:ascii="Calibri" w:hAnsi="Calibri"/>
        </w:rPr>
      </w:r>
    </w:p>
    <w:tbl>
      <w:tblPr>
        <w:tblStyle w:val="1045"/>
        <w:tblW w:w="9298"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0"/>
        <w:gridCol w:w="1865"/>
        <w:gridCol w:w="3963"/>
      </w:tblGrid>
      <w:tr>
        <w:trPr/>
        <w:tc>
          <w:tcPr>
            <w:tcW w:w="3470"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865"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3963"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70"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eidas.ms.context.url.prefix</w:t>
            </w:r>
          </w:p>
        </w:tc>
        <w:tc>
          <w:tcPr>
            <w:tcW w:w="1865" w:type="dxa"/>
            <w:tcBorders/>
          </w:tcPr>
          <w:p>
            <w:pPr>
              <w:pStyle w:val="Normal"/>
              <w:widowControl w:val="false"/>
              <w:spacing w:before="0" w:after="0"/>
              <w:jc w:val="left"/>
              <w:rPr>
                <w:rFonts w:ascii="Calibri" w:hAnsi="Calibri" w:cs="Calibri"/>
              </w:rPr>
            </w:pPr>
            <w:r>
              <w:rPr>
                <w:rStyle w:val="Hljscomment"/>
                <w:rFonts w:eastAsia="Calibri" w:cs="Calibri" w:ascii="Calibri" w:hAnsi="Calibri"/>
                <w:color w:val="000000"/>
                <w:kern w:val="0"/>
                <w:sz w:val="18"/>
                <w:szCs w:val="18"/>
                <w:shd w:fill="FFFFFF" w:val="clear"/>
                <w:lang w:eastAsia="en-US" w:bidi="ar-SA"/>
              </w:rPr>
              <w:t>https://abcde.at/ms_proxyservice</w:t>
            </w:r>
          </w:p>
        </w:tc>
        <w:tc>
          <w:tcPr>
            <w:tcW w:w="3963"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URL unter welcher das MS-Proxy-Service erreichbar ist</w:t>
            </w:r>
          </w:p>
        </w:tc>
      </w:tr>
      <w:tr>
        <w:trPr/>
        <w:tc>
          <w:tcPr>
            <w:tcW w:w="3470"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eidas.ms.context.url.request.validation</w:t>
            </w:r>
          </w:p>
        </w:tc>
        <w:tc>
          <w:tcPr>
            <w:tcW w:w="1865" w:type="dxa"/>
            <w:tcBorders/>
          </w:tcPr>
          <w:p>
            <w:pPr>
              <w:pStyle w:val="Normal"/>
              <w:widowControl w:val="false"/>
              <w:spacing w:before="0" w:after="0"/>
              <w:jc w:val="left"/>
              <w:rPr>
                <w:rFonts w:ascii="Calibri" w:hAnsi="Calibri" w:cs="Calibri"/>
              </w:rPr>
            </w:pPr>
            <w:r>
              <w:rPr>
                <w:rStyle w:val="Hljskeyword"/>
                <w:rFonts w:eastAsia="Calibri" w:cs="Calibri" w:ascii="Calibri" w:hAnsi="Calibri"/>
                <w:bCs/>
                <w:color w:val="000000"/>
                <w:kern w:val="0"/>
                <w:sz w:val="18"/>
                <w:szCs w:val="18"/>
                <w:shd w:fill="FFFFFF" w:val="clear"/>
                <w:lang w:eastAsia="en-US" w:bidi="ar-SA"/>
              </w:rPr>
              <w:t>true/false</w:t>
            </w:r>
          </w:p>
          <w:p>
            <w:pPr>
              <w:pStyle w:val="Normal"/>
              <w:widowControl w:val="false"/>
              <w:spacing w:before="0" w:after="0"/>
              <w:jc w:val="left"/>
              <w:rPr>
                <w:rFonts w:ascii="Calibri" w:hAnsi="Calibri" w:cs="Calibri"/>
              </w:rPr>
            </w:pPr>
            <w:r>
              <w:rPr>
                <w:rStyle w:val="Hljskeyword"/>
                <w:rFonts w:eastAsia="Calibri" w:cs="Calibri" w:ascii="Calibri" w:hAnsi="Calibri"/>
                <w:b/>
                <w:bCs/>
                <w:color w:val="000000"/>
                <w:kern w:val="0"/>
                <w:sz w:val="18"/>
                <w:szCs w:val="18"/>
                <w:shd w:fill="FFFFFF" w:val="clear"/>
                <w:lang w:eastAsia="en-US" w:bidi="ar-SA"/>
              </w:rPr>
              <w:t>Default:</w:t>
            </w:r>
            <w:r>
              <w:rPr>
                <w:rStyle w:val="Hljskeyword"/>
                <w:rFonts w:eastAsia="Calibri" w:cs="Calibri" w:ascii="Calibri" w:hAnsi="Calibri"/>
                <w:bCs/>
                <w:color w:val="000000"/>
                <w:kern w:val="0"/>
                <w:sz w:val="18"/>
                <w:szCs w:val="18"/>
                <w:shd w:fill="FFFFFF" w:val="clear"/>
                <w:lang w:eastAsia="en-US" w:bidi="ar-SA"/>
              </w:rPr>
              <w:t xml:space="preserve"> false</w:t>
            </w:r>
          </w:p>
        </w:tc>
        <w:tc>
          <w:tcPr>
            <w:tcW w:w="3963"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Validierung ob die eingehenden http Requests dem URL Prefix des Konfigurationsparameters „eidas.ms.context.url.prefix“ entsprechen</w:t>
            </w:r>
          </w:p>
        </w:tc>
      </w:tr>
      <w:tr>
        <w:trPr/>
        <w:tc>
          <w:tcPr>
            <w:tcW w:w="3470"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eidas.ms.configRootDir=file:./</w:t>
            </w:r>
          </w:p>
        </w:tc>
        <w:tc>
          <w:tcPr>
            <w:tcW w:w="186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file:./</w:t>
            </w:r>
          </w:p>
        </w:tc>
        <w:tc>
          <w:tcPr>
            <w:tcW w:w="3963"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Absoluter Pfad, beginnend mit file:…, zum Konfigurationsverzeichnis der MS-Proxy-Service Applikation. Alle relativen Pfade werden als relativ zu diesem Pfad interpretiert.</w:t>
            </w:r>
          </w:p>
        </w:tc>
      </w:tr>
      <w:tr>
        <w:trPr/>
        <w:tc>
          <w:tcPr>
            <w:tcW w:w="3470"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eidas.ms.context.use.clustermode</w:t>
            </w:r>
          </w:p>
        </w:tc>
        <w:tc>
          <w:tcPr>
            <w:tcW w:w="186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true/false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true</w:t>
            </w:r>
          </w:p>
        </w:tc>
        <w:tc>
          <w:tcPr>
            <w:tcW w:w="3963"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 xml:space="preserve">Aktiviert die Legacyunterstützung  des AuthHandlers, entsprechend eGovernmentgesetz vor E-ID Einführung. Ist die Legacyuntersützung aktiviert werden Handy-Signatur, XML Personenbindungen, XML AuthBlöcke, Stammzahlen, … identisch zu aktuell noch verwendeten MOA-ID Instanzen verarbeitet. </w:t>
              <w:br/>
              <w:t>Ohne Legacyunterstützung werden ausschließlich Identifikations- und Authentifizierungsinformationen entsprecht dem E-ID unterstützt.</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3"/>
          <w:numId w:val="25"/>
        </w:numPr>
        <w:ind w:left="709" w:hanging="709"/>
        <w:rPr>
          <w:rFonts w:ascii="Calibri" w:hAnsi="Calibri" w:cs="Calibri"/>
        </w:rPr>
      </w:pPr>
      <w:bookmarkStart w:id="13" w:name="__RefHeading___Toc3539_3963215250"/>
      <w:bookmarkEnd w:id="13"/>
      <w:r>
        <w:rPr>
          <w:rFonts w:cs="Calibri" w:ascii="Calibri" w:hAnsi="Calibri"/>
        </w:rPr>
        <w:t>Pfade auf GUI spezifische Elemente (Template, i18n, …)</w:t>
      </w:r>
    </w:p>
    <w:p>
      <w:pPr>
        <w:pStyle w:val="Textkrper"/>
        <w:rPr>
          <w:rFonts w:ascii="Calibri" w:hAnsi="Calibri" w:cs="Calibri"/>
        </w:rPr>
      </w:pPr>
      <w:r>
        <w:rPr>
          <w:rFonts w:cs="Calibri" w:ascii="Calibri" w:hAnsi="Calibri"/>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1"/>
        <w:gridCol w:w="1702"/>
        <w:gridCol w:w="4121"/>
      </w:tblGrid>
      <w:tr>
        <w:trPr/>
        <w:tc>
          <w:tcPr>
            <w:tcW w:w="347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702"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412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eidas.ms.webcontent.static.directory</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webcontent/</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Alle in diesem Verzeichnis hinterlegten Daten werden statisch im Kontext der MS-Proxy-Service Applikation unter „/static/…“ eingebunden. Anwendungsfälle sind statische CSS, JS, oder Bilder welche in anderen Templates referenziert werden.</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eidas.ms.webcontent.templates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templates/</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In diesem Verzeichnis sind Templates für alle dynamisch genierten HTML GUI des MS-Proxy-Service hinterlegt. Diese Templates werden im Anmeldeprozess dynamisch geladen und verarbeitet</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eidas.ms.webcontent.properties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properties/messages</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 xml:space="preserve">Dieses Verzeichnis stellt die primäre Quelle für Message Properties für i18n (Multi-Langure) Unterstützung dar und Umfasst ein Minimalset an Properties für Deutsch und Englisch. </w:t>
              <w:br/>
            </w:r>
            <w:r>
              <w:rPr>
                <w:rFonts w:eastAsia="Calibri" w:cs="Calibri" w:ascii="Calibri" w:hAnsi="Calibri"/>
                <w:b/>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Alle Properties welche nicht in über dieses Verzeichnis aufgelöst werden können werden entsprechend den in der Applikation hinterlegten Default Properties auf Englisch verarbeitet</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3"/>
          <w:numId w:val="26"/>
        </w:numPr>
        <w:ind w:left="709" w:hanging="709"/>
        <w:rPr>
          <w:rFonts w:ascii="Calibri" w:hAnsi="Calibri" w:cs="Calibri"/>
        </w:rPr>
      </w:pPr>
      <w:bookmarkStart w:id="14" w:name="__RefHeading___Toc3541_3963215250"/>
      <w:bookmarkEnd w:id="14"/>
      <w:r>
        <w:rPr>
          <w:rFonts w:cs="Calibri" w:ascii="Calibri" w:hAnsi="Calibri"/>
        </w:rPr>
        <w:t>Validierung von Einmalzugriffstoken (PendingRequestIDs)</w:t>
      </w:r>
    </w:p>
    <w:p>
      <w:pPr>
        <w:pStyle w:val="Textkrper"/>
        <w:rPr>
          <w:rFonts w:ascii="Calibri" w:hAnsi="Calibri" w:cs="Calibri"/>
        </w:rPr>
      </w:pPr>
      <w:r>
        <w:rPr>
          <w:rFonts w:cs="Calibri" w:ascii="Calibri" w:hAnsi="Calibri"/>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1"/>
        <w:gridCol w:w="1702"/>
        <w:gridCol w:w="4121"/>
      </w:tblGrid>
      <w:tr>
        <w:trPr/>
        <w:tc>
          <w:tcPr>
            <w:tcW w:w="347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702"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412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eidas.ms.core.pendingrequestid.maxlifetime</w:t>
            </w:r>
          </w:p>
        </w:tc>
        <w:tc>
          <w:tcPr>
            <w:tcW w:w="1702" w:type="dxa"/>
            <w:tcBorders/>
          </w:tcPr>
          <w:p>
            <w:pPr>
              <w:pStyle w:val="Normal"/>
              <w:widowControl w:val="false"/>
              <w:spacing w:before="0" w:after="0"/>
              <w:jc w:val="left"/>
              <w:rPr>
                <w:rFonts w:ascii="Calibri" w:hAnsi="Calibri" w:cs="Calibri"/>
              </w:rPr>
            </w:pPr>
            <w:r>
              <w:rPr>
                <w:rStyle w:val="Hljsnumber"/>
                <w:rFonts w:eastAsia="Calibri" w:cs="Calibri" w:ascii="Calibri" w:hAnsi="Calibri"/>
                <w:color w:val="000000"/>
                <w:kern w:val="0"/>
                <w:sz w:val="18"/>
                <w:szCs w:val="18"/>
                <w:shd w:fill="FFFFFF" w:val="clear"/>
                <w:lang w:eastAsia="en-US" w:bidi="ar-SA"/>
              </w:rPr>
              <w:t>Default: 300</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Dieser Parameter definiert den Gültigkeitszeitraum des Einmalzugriffstoken während eines laufenden Prozesses in Sekunden. Nach einmaliger Verwendung wird das Token durch den widerrufen.</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eidas.ms.core.pendingrequestid.digist.algorithm</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HmacSHA256</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Algorithmus zur Integritätssicherung von PendingRequestIds</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eidas.ms.core.pendingrequestid.digist.secret</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pendingReqIdSecret</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 xml:space="preserve"> </w:t>
            </w:r>
            <w:r>
              <w:rPr>
                <w:rFonts w:eastAsia="Calibri" w:cs="Calibri" w:ascii="Calibri" w:hAnsi="Calibri"/>
                <w:color w:val="000000"/>
                <w:kern w:val="0"/>
                <w:sz w:val="18"/>
                <w:szCs w:val="18"/>
                <w:shd w:fill="FFFFFF" w:val="clear"/>
                <w:lang w:eastAsia="en-US" w:bidi="ar-SA"/>
              </w:rPr>
              <w:t xml:space="preserve">Secret zur Generierung und Validierung von Einmalzugriffstoken. </w:t>
              <w:br/>
            </w:r>
            <w:r>
              <w:rPr>
                <w:rFonts w:eastAsia="Calibri" w:cs="Calibri" w:ascii="Calibri" w:hAnsi="Calibri"/>
                <w:b/>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Wird das MS-Proxy-Service im Cluster betrieben (mehr als eine Instanz) muss dieser Parameter auf allen Instanzen des MS-Proxy-Service identisch sein.</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3"/>
          <w:numId w:val="27"/>
        </w:numPr>
        <w:ind w:left="709" w:hanging="709"/>
        <w:rPr>
          <w:rFonts w:ascii="Calibri" w:hAnsi="Calibri" w:cs="Calibri"/>
        </w:rPr>
      </w:pPr>
      <w:bookmarkStart w:id="15" w:name="__RefHeading___Toc3543_39632152501"/>
      <w:bookmarkEnd w:id="15"/>
      <w:r>
        <w:rPr>
          <w:rFonts w:cs="Calibri" w:ascii="Calibri" w:hAnsi="Calibri"/>
        </w:rPr>
        <w:t>HTTP Client Basisparameter</w:t>
      </w:r>
    </w:p>
    <w:p>
      <w:pPr>
        <w:pStyle w:val="Textkrper"/>
        <w:rPr>
          <w:rFonts w:ascii="Calibri" w:hAnsi="Calibri" w:cs="Calibri"/>
        </w:rPr>
      </w:pPr>
      <w:r>
        <w:rPr>
          <w:rFonts w:cs="Calibri" w:ascii="Calibri" w:hAnsi="Calibri"/>
        </w:rPr>
      </w:r>
    </w:p>
    <w:tbl>
      <w:tblPr>
        <w:tblStyle w:val="1045"/>
        <w:tblW w:w="928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60"/>
        <w:gridCol w:w="1709"/>
        <w:gridCol w:w="4115"/>
      </w:tblGrid>
      <w:tr>
        <w:trPr/>
        <w:tc>
          <w:tcPr>
            <w:tcW w:w="3460"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709"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4115"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eastAsia="en-US" w:bidi="ar-SA"/>
              </w:rPr>
            </w:pPr>
            <w:r>
              <w:rPr>
                <w:rFonts w:eastAsia="Calibri" w:cs="Calibri" w:ascii="Calibri" w:hAnsi="Calibri"/>
                <w:color w:val="000000"/>
                <w:kern w:val="0"/>
                <w:sz w:val="18"/>
                <w:szCs w:val="18"/>
                <w:u w:val="single"/>
                <w:shd w:fill="FFFFFF" w:val="clear"/>
                <w:lang w:eastAsia="en-US" w:bidi="ar-SA"/>
              </w:rPr>
              <w:t>eidas.ms.client.http.connection.timeout.socket</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 xml:space="preserve">              </w:t>
            </w:r>
            <w:r>
              <w:rPr>
                <w:rFonts w:eastAsia="Calibri" w:cs="Calibri" w:ascii="Calibri" w:hAnsi="Calibri"/>
                <w:color w:val="000000"/>
                <w:kern w:val="0"/>
                <w:sz w:val="18"/>
                <w:szCs w:val="18"/>
                <w:shd w:fill="FFFFFF" w:val="clear"/>
                <w:lang w:eastAsia="en-US" w:bidi="ar-SA"/>
              </w:rPr>
              <w:t>[sec]</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b w:val="false"/>
                <w:bCs w:val="false"/>
                <w:color w:val="000000"/>
                <w:kern w:val="0"/>
                <w:sz w:val="18"/>
                <w:szCs w:val="18"/>
                <w:shd w:fill="FFFFFF" w:val="clear"/>
                <w:lang w:eastAsia="en-US" w:bidi="ar-SA"/>
              </w:rPr>
              <w:t>15</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Response Timeout, Maximale Zeitspanne in Sekunden bis der Server eine Anfrage beantwortet.</w:t>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eastAsia="en-US" w:bidi="ar-SA"/>
              </w:rPr>
            </w:pPr>
            <w:r>
              <w:rPr>
                <w:rFonts w:eastAsia="Calibri" w:cs="Calibri" w:ascii="Calibri" w:hAnsi="Calibri"/>
                <w:color w:val="000000"/>
                <w:kern w:val="0"/>
                <w:sz w:val="18"/>
                <w:szCs w:val="18"/>
                <w:u w:val="single"/>
                <w:shd w:fill="FFFFFF" w:val="clear"/>
                <w:lang w:eastAsia="en-US" w:bidi="ar-SA"/>
              </w:rPr>
              <w:t>eidas.ms.client.http.connection.timeout.connection</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 xml:space="preserve">              </w:t>
            </w:r>
            <w:r>
              <w:rPr>
                <w:rFonts w:eastAsia="Calibri" w:cs="Calibri" w:ascii="Calibri" w:hAnsi="Calibri"/>
                <w:color w:val="000000"/>
                <w:kern w:val="0"/>
                <w:sz w:val="18"/>
                <w:szCs w:val="18"/>
                <w:shd w:fill="FFFFFF" w:val="clear"/>
                <w:lang w:eastAsia="en-US" w:bidi="ar-SA"/>
              </w:rPr>
              <w:t>[sec]</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b w:val="false"/>
                <w:bCs w:val="false"/>
                <w:color w:val="000000"/>
                <w:kern w:val="0"/>
                <w:sz w:val="18"/>
                <w:szCs w:val="18"/>
                <w:shd w:fill="FFFFFF" w:val="clear"/>
                <w:lang w:eastAsia="en-US" w:bidi="ar-SA"/>
              </w:rPr>
              <w:t>15</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Connection-Pool Timeout. Maximale Zeitspanne in Sekunden bis vom internen HTTP Connection-Pool eine Verbindung frei wird.</w:t>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eastAsia="en-US" w:bidi="ar-SA"/>
              </w:rPr>
            </w:pPr>
            <w:r>
              <w:rPr>
                <w:rFonts w:eastAsia="Calibri" w:cs="Calibri" w:ascii="Calibri" w:hAnsi="Calibri"/>
                <w:color w:val="000000"/>
                <w:kern w:val="0"/>
                <w:sz w:val="18"/>
                <w:szCs w:val="18"/>
                <w:u w:val="single"/>
                <w:shd w:fill="FFFFFF" w:val="clear"/>
                <w:lang w:eastAsia="en-US" w:bidi="ar-SA"/>
              </w:rPr>
              <w:t>eidas.ms.client.http.connection.timeout.request</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 xml:space="preserve">              </w:t>
            </w:r>
            <w:r>
              <w:rPr>
                <w:rFonts w:eastAsia="Calibri" w:cs="Calibri" w:ascii="Calibri" w:hAnsi="Calibri"/>
                <w:color w:val="000000"/>
                <w:kern w:val="0"/>
                <w:sz w:val="18"/>
                <w:szCs w:val="18"/>
                <w:shd w:fill="FFFFFF" w:val="clear"/>
                <w:lang w:eastAsia="en-US" w:bidi="ar-SA"/>
              </w:rPr>
              <w:t>[sec]</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b w:val="false"/>
                <w:bCs w:val="false"/>
                <w:color w:val="000000"/>
                <w:kern w:val="0"/>
                <w:sz w:val="18"/>
                <w:szCs w:val="18"/>
                <w:shd w:fill="FFFFFF" w:val="clear"/>
                <w:lang w:eastAsia="en-US" w:bidi="ar-SA"/>
              </w:rPr>
              <w:t>15</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Request Timeout, Maximale Zeitspanne in Sekunden bis der Server eine Anfrage annimmt.</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3"/>
          <w:numId w:val="28"/>
        </w:numPr>
        <w:ind w:left="709" w:hanging="709"/>
        <w:rPr>
          <w:rFonts w:ascii="Calibri" w:hAnsi="Calibri" w:cs="Calibri"/>
        </w:rPr>
      </w:pPr>
      <w:bookmarkStart w:id="16" w:name="__RefHeading___Toc3543_3963215250"/>
      <w:bookmarkEnd w:id="16"/>
      <w:r>
        <w:rPr>
          <w:rFonts w:cs="Calibri" w:ascii="Calibri" w:hAnsi="Calibri"/>
        </w:rPr>
        <w:t>eIDAS Node Integration</w:t>
      </w:r>
    </w:p>
    <w:p>
      <w:pPr>
        <w:pStyle w:val="Textkrper"/>
        <w:rPr>
          <w:rFonts w:ascii="Calibri" w:hAnsi="Calibri" w:cs="Calibri"/>
        </w:rPr>
      </w:pPr>
      <w:r>
        <w:rPr>
          <w:rFonts w:cs="Calibri" w:ascii="Calibri" w:hAnsi="Calibri"/>
        </w:rPr>
      </w:r>
    </w:p>
    <w:tbl>
      <w:tblPr>
        <w:tblStyle w:val="1045"/>
        <w:tblW w:w="928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60"/>
        <w:gridCol w:w="1709"/>
        <w:gridCol w:w="4115"/>
      </w:tblGrid>
      <w:tr>
        <w:trPr/>
        <w:tc>
          <w:tcPr>
            <w:tcW w:w="3460"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709"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4115"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u w:val="single"/>
                <w:shd w:fill="FFFFFF" w:val="clear"/>
                <w:lang w:val="de-DE" w:eastAsia="en-US" w:bidi="ar-SA"/>
              </w:rPr>
              <w:t>eidas.ms.auth.eIDAS.proxy.attribute.mapping.config</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color w:val="000000"/>
                <w:kern w:val="0"/>
                <w:sz w:val="18"/>
                <w:szCs w:val="18"/>
                <w:shd w:fill="FFFFFF" w:val="clear"/>
                <w:lang w:val="de-DE" w:eastAsia="en-US" w:bidi="ar-SA"/>
              </w:rPr>
              <w:t>misc/idaAttributeMapping.json</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Pfad zur externen Mapping Konfiguration zwischen eIDAS Attributen und ID Austria Attributen.</w:t>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u w:val="single"/>
                <w:shd w:fill="FFFFFF" w:val="clear"/>
                <w:lang w:val="de-DE" w:eastAsia="en-US" w:bidi="ar-SA"/>
              </w:rPr>
              <w:t>eidas.ms.auth.eIDAS.node_v2.proxy.entityId</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ownSpecificProxy</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Name des MS-Proxy-Service in der Kommunikation mit dem eIDAS Node aus der Referenzimplementierung</w:t>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eidas.ms.auth.eIDAS.node_v2.proxy.forward.endpoin</w:t>
            </w:r>
          </w:p>
        </w:tc>
        <w:tc>
          <w:tcPr>
            <w:tcW w:w="1709"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r>
          </w:p>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b/>
                <w:bCs/>
                <w:color w:val="000000"/>
                <w:kern w:val="0"/>
                <w:sz w:val="18"/>
                <w:szCs w:val="18"/>
                <w:shd w:fill="FFFFFF" w:val="clear"/>
                <w:lang w:val="de-DE" w:eastAsia="en-US" w:bidi="ar-SA"/>
              </w:rPr>
              <w:t>z.B.</w:t>
            </w:r>
            <w:r>
              <w:rPr>
                <w:rFonts w:eastAsia="Calibri" w:cs="Calibri" w:ascii="Calibri" w:hAnsi="Calibri"/>
                <w:color w:val="000000"/>
                <w:kern w:val="0"/>
                <w:sz w:val="18"/>
                <w:szCs w:val="18"/>
                <w:shd w:fill="FFFFFF" w:val="clear"/>
                <w:lang w:val="de-DE" w:eastAsia="en-US" w:bidi="ar-SA"/>
              </w:rPr>
              <w:t>: https://eidas.bmi.gv.at/EidasNode/SpecificProxyServiceResponse</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Endpunkt des eIDAS Nodes der Referenzimplementierung an welchen der Anmeldeprozess nach erfolgreicher ID Austria Anmeldung weitergeleitet wird</w:t>
            </w:r>
          </w:p>
        </w:tc>
      </w:tr>
      <w:tr>
        <w:trPr/>
        <w:tc>
          <w:tcPr>
            <w:tcW w:w="3460"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eidas.ms.auth.eIDAS.node_v2.forward.method</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GET / POST</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POST</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HTTP Methode welche zur Weiterleitung an den eIDAS Node verwendet wird</w:t>
            </w:r>
          </w:p>
        </w:tc>
      </w:tr>
      <w:tr>
        <w:trPr/>
        <w:tc>
          <w:tcPr>
            <w:tcW w:w="3460" w:type="dxa"/>
            <w:tcBorders/>
          </w:tcPr>
          <w:p>
            <w:pPr>
              <w:pStyle w:val="Normal"/>
              <w:widowControl w:val="false"/>
              <w:spacing w:before="0" w:after="0"/>
              <w:jc w:val="left"/>
              <w:rPr>
                <w:rFonts w:ascii="Calibri" w:hAnsi="Calibri" w:eastAsia="Calibri" w:cs="Calibri"/>
                <w:b w:val="false"/>
                <w:i w:val="false"/>
                <w:caps w:val="false"/>
                <w:smallCaps w:val="false"/>
                <w:color w:val="000000"/>
                <w:spacing w:val="0"/>
                <w:kern w:val="0"/>
                <w:sz w:val="18"/>
                <w:szCs w:val="18"/>
                <w:shd w:fill="FFFFFF" w:val="clear"/>
                <w:lang w:val="de-DE" w:eastAsia="en-US" w:bidi="ar-SA"/>
              </w:rPr>
            </w:pPr>
            <w:r>
              <w:rPr>
                <w:rFonts w:eastAsia="Calibri" w:cs="Calibri" w:ascii="Calibri" w:hAnsi="Calibri"/>
                <w:b w:val="false"/>
                <w:i w:val="false"/>
                <w:caps w:val="false"/>
                <w:smallCaps w:val="false"/>
                <w:color w:val="000000"/>
                <w:spacing w:val="0"/>
                <w:kern w:val="0"/>
                <w:sz w:val="18"/>
                <w:szCs w:val="18"/>
                <w:shd w:fill="FFFFFF" w:val="clear"/>
                <w:lang w:val="de-DE" w:eastAsia="en-US" w:bidi="ar-SA"/>
              </w:rPr>
              <w:t>eidas.ms.auth.eIDAS.node_v2.proxy.forward.errors</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true/false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val="en-US" w:eastAsia="en-US" w:bidi="ar-SA"/>
              </w:rPr>
              <w:t>Default:</w:t>
            </w:r>
            <w:r>
              <w:rPr>
                <w:rFonts w:eastAsia="Calibri" w:cs="Calibri" w:ascii="Calibri" w:hAnsi="Calibri"/>
                <w:color w:val="000000"/>
                <w:kern w:val="0"/>
                <w:sz w:val="18"/>
                <w:szCs w:val="18"/>
                <w:shd w:fill="FFFFFF" w:val="clear"/>
                <w:lang w:val="en-US" w:eastAsia="en-US" w:bidi="ar-SA"/>
              </w:rPr>
              <w:t xml:space="preserve"> </w:t>
            </w:r>
            <w:r>
              <w:rPr>
                <w:rFonts w:eastAsia="Calibri" w:cs="Calibri" w:ascii="Calibri" w:hAnsi="Calibri"/>
                <w:color w:val="000000"/>
                <w:kern w:val="0"/>
                <w:sz w:val="18"/>
                <w:szCs w:val="18"/>
                <w:shd w:fill="FFFFFF" w:val="clear"/>
                <w:lang w:val="en-US" w:eastAsia="en-US" w:bidi="ar-SA"/>
              </w:rPr>
              <w:t>false</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t>Aktiviert / Deaktiviert die Rückgabe von Fehlern an den eIDAS Node. Falls deaktiviert werden alle Fehler am MS-ProxyService ausgegeben.</w:t>
            </w:r>
          </w:p>
        </w:tc>
      </w:tr>
      <w:tr>
        <w:trPr/>
        <w:tc>
          <w:tcPr>
            <w:tcW w:w="3460"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sz w:val="18"/>
                <w:szCs w:val="18"/>
                <w:shd w:fill="FFFFFF" w:val="clear"/>
                <w:lang w:val="en-US" w:eastAsia="en-US"/>
              </w:rPr>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sz w:val="18"/>
                <w:szCs w:val="18"/>
                <w:shd w:fill="FFFFFF" w:val="clear"/>
                <w:lang w:val="en-US" w:eastAsia="en-US"/>
              </w:rPr>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u w:val="single"/>
                <w:shd w:fill="FFFFFF" w:val="clear"/>
                <w:lang w:val="de-DE" w:eastAsia="en-US" w:bidi="ar-SA"/>
              </w:rPr>
              <w:t>eidas.ms.auth.eIDAS.proxy.mandates.enabled</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true/false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val="en-US" w:eastAsia="en-US" w:bidi="ar-SA"/>
              </w:rPr>
              <w:t>Default:</w:t>
            </w:r>
            <w:r>
              <w:rPr>
                <w:rFonts w:eastAsia="Calibri" w:cs="Calibri" w:ascii="Calibri" w:hAnsi="Calibri"/>
                <w:color w:val="000000"/>
                <w:kern w:val="0"/>
                <w:sz w:val="18"/>
                <w:szCs w:val="18"/>
                <w:shd w:fill="FFFFFF" w:val="clear"/>
                <w:lang w:val="en-US" w:eastAsia="en-US" w:bidi="ar-SA"/>
              </w:rPr>
              <w:t xml:space="preserve"> true</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Aktiviert die Unterstützung von Anmeldung in Vertretung am MS-Proxy-Service</w:t>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eidas.ms.auth.eIDAS.proxy.mandates.profiles.natural.default</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CSV Liste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b w:val="false"/>
                <w:bCs w:val="false"/>
                <w:color w:val="000000"/>
                <w:kern w:val="0"/>
                <w:sz w:val="18"/>
                <w:szCs w:val="18"/>
                <w:shd w:fill="FFFFFF" w:val="clear"/>
                <w:lang w:eastAsia="en-US" w:bidi="ar-SA"/>
              </w:rPr>
              <w:t>GeneralvollmachtBilateral</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Liste von komma-separierten Vollmachtenprofilen welche für die Anmeldung in Vertretung für eine natürliche Person erlaubt sind. Eine Liste aller Profile findet sich unter:</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https://eid.oesterreich.gv.at/authHandler/public/mis/info</w:t>
            </w:r>
          </w:p>
        </w:tc>
      </w:tr>
      <w:tr>
        <w:trPr/>
        <w:tc>
          <w:tcPr>
            <w:tcW w:w="3460"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eidas.ms.auth.eIDAS.proxy.mandates.profiles.legal.default</w:t>
            </w:r>
          </w:p>
        </w:tc>
        <w:tc>
          <w:tcPr>
            <w:tcW w:w="1709"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CSV Liste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b w:val="false"/>
                <w:bCs w:val="false"/>
                <w:color w:val="000000"/>
                <w:kern w:val="0"/>
                <w:sz w:val="18"/>
                <w:szCs w:val="18"/>
                <w:shd w:fill="FFFFFF" w:val="clear"/>
                <w:lang w:eastAsia="en-US" w:bidi="ar-SA"/>
              </w:rPr>
              <w:t>Einzelvertretungsbefugnis</w:t>
            </w:r>
          </w:p>
        </w:tc>
        <w:tc>
          <w:tcPr>
            <w:tcW w:w="4115"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Liste von komma-separierten Vollmachtenprofilen welche für die Anmeldung in Vertretung für eine juristische Person erlaubt sind. Eine Liste aller Profile findet sich unter:</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https://eid.oesterreich.gv.at/authHandler/public/mis/info</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0"/>
          <w:numId w:val="0"/>
        </w:numPr>
        <w:ind w:left="0" w:hanging="0"/>
        <w:rPr>
          <w:rFonts w:ascii="Calibri" w:hAnsi="Calibri" w:cs="Calibri"/>
        </w:rPr>
      </w:pPr>
      <w:r>
        <w:rPr>
          <w:rFonts w:cs="Calibri" w:ascii="Calibri" w:hAnsi="Calibri"/>
        </w:rPr>
      </w:r>
    </w:p>
    <w:p>
      <w:pPr>
        <w:pStyle w:val="Berschrift3"/>
        <w:numPr>
          <w:ilvl w:val="3"/>
          <w:numId w:val="29"/>
        </w:numPr>
        <w:ind w:left="709" w:hanging="709"/>
        <w:rPr>
          <w:rFonts w:ascii="Calibri" w:hAnsi="Calibri" w:cs="Calibri"/>
        </w:rPr>
      </w:pPr>
      <w:bookmarkStart w:id="17" w:name="__RefHeading___Toc3547_396321525021"/>
      <w:bookmarkEnd w:id="17"/>
      <w:r>
        <w:rPr>
          <w:rFonts w:cs="Calibri" w:ascii="Calibri" w:hAnsi="Calibri"/>
        </w:rPr>
        <w:t>ID Austria Anbindung</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Textkrper"/>
        <w:widowControl w:val="false"/>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000000"/>
          <w:spacing w:val="0"/>
          <w:kern w:val="0"/>
          <w:sz w:val="22"/>
          <w:szCs w:val="20"/>
          <w:shd w:fill="FFFFFF" w:val="clear"/>
          <w:lang w:val="de-DE" w:eastAsia="ar-SA" w:bidi="ar-SA"/>
        </w:rPr>
        <w:t>Aus Sicht des MS-Proxy-Service sind folgende Registrierungsparameter auf jeden Fall notwendig:</w:t>
      </w:r>
    </w:p>
    <w:p>
      <w:pPr>
        <w:pStyle w:val="Textkrper"/>
        <w:widowControl/>
        <w:numPr>
          <w:ilvl w:val="0"/>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 xml:space="preserve">Eindeutige Identifier: </w:t>
      </w:r>
    </w:p>
    <w:p>
      <w:pPr>
        <w:pStyle w:val="Textkrper"/>
        <w:widowControl/>
        <w:numPr>
          <w:ilvl w:val="1"/>
          <w:numId w:val="2"/>
        </w:numPr>
        <w:spacing w:before="0" w:after="0"/>
        <w:jc w:val="left"/>
        <w:rPr/>
      </w:pPr>
      <w:r>
        <w:rPr>
          <w:rFonts w:eastAsia="Noto Serif CJK SC" w:cs="Calibri" w:ascii="Calibri" w:hAnsi="Calibri"/>
          <w:b w:val="false"/>
          <w:i w:val="false"/>
          <w:caps w:val="false"/>
          <w:smallCaps w:val="false"/>
          <w:color w:val="auto"/>
          <w:spacing w:val="0"/>
          <w:kern w:val="0"/>
          <w:sz w:val="22"/>
          <w:szCs w:val="20"/>
          <w:lang w:val="de-DE" w:eastAsia="ar-SA" w:bidi="ar-SA"/>
        </w:rPr>
        <w:t xml:space="preserve">P-Stage: </w:t>
      </w:r>
      <w:r>
        <w:rPr>
          <w:rStyle w:val="Internetverknpfung"/>
          <w:rFonts w:eastAsia="Noto Serif CJK SC" w:cs="Calibri" w:ascii="Calibri" w:hAnsi="Calibri"/>
          <w:b w:val="false"/>
          <w:i w:val="false"/>
          <w:caps w:val="false"/>
          <w:smallCaps w:val="false"/>
          <w:color w:val="auto"/>
          <w:spacing w:val="0"/>
          <w:kern w:val="0"/>
          <w:sz w:val="22"/>
          <w:szCs w:val="20"/>
          <w:lang w:val="de-DE" w:eastAsia="ar-SA" w:bidi="ar-SA"/>
        </w:rPr>
        <w:t>https://eidas.bmi.gv.at/ms_proxyservice/sp/idaustria/eidas/metadata</w:t>
      </w:r>
    </w:p>
    <w:p>
      <w:pPr>
        <w:pStyle w:val="Textkrper"/>
        <w:widowControl/>
        <w:numPr>
          <w:ilvl w:val="1"/>
          <w:numId w:val="2"/>
        </w:numPr>
        <w:spacing w:before="0" w:after="0"/>
        <w:jc w:val="left"/>
        <w:rPr/>
      </w:pPr>
      <w:r>
        <w:rPr>
          <w:rFonts w:eastAsia="Noto Serif CJK SC" w:cs="Calibri" w:ascii="Calibri" w:hAnsi="Calibri"/>
          <w:b w:val="false"/>
          <w:i w:val="false"/>
          <w:caps w:val="false"/>
          <w:smallCaps w:val="false"/>
          <w:color w:val="auto"/>
          <w:spacing w:val="0"/>
          <w:kern w:val="0"/>
          <w:sz w:val="22"/>
          <w:szCs w:val="20"/>
          <w:lang w:val="de-DE" w:eastAsia="ar-SA" w:bidi="ar-SA"/>
        </w:rPr>
        <w:t xml:space="preserve">T-Stage: </w:t>
      </w:r>
      <w:r>
        <w:rPr>
          <w:rStyle w:val="Internetverknpfung"/>
          <w:rFonts w:eastAsia="Noto Serif CJK SC" w:cs="Calibri" w:ascii="Calibri" w:hAnsi="Calibri"/>
          <w:b w:val="false"/>
          <w:i w:val="false"/>
          <w:caps w:val="false"/>
          <w:smallCaps w:val="false"/>
          <w:color w:val="auto"/>
          <w:spacing w:val="0"/>
          <w:kern w:val="0"/>
          <w:sz w:val="22"/>
          <w:szCs w:val="20"/>
          <w:lang w:val="de-DE" w:eastAsia="ar-SA" w:bidi="ar-SA"/>
        </w:rPr>
        <w:t>https://eidas-test.bmi.gv.at/ms_proxyservice/sp/idaustria/eidas/metadata</w:t>
      </w:r>
    </w:p>
    <w:p>
      <w:pPr>
        <w:pStyle w:val="Textkrper"/>
        <w:widowControl/>
        <w:numPr>
          <w:ilvl w:val="0"/>
          <w:numId w:val="2"/>
        </w:numPr>
        <w:spacing w:before="0" w:after="0"/>
        <w:jc w:val="left"/>
        <w:rPr/>
      </w:pPr>
      <w:r>
        <w:rPr>
          <w:rFonts w:eastAsia="Noto Serif CJK SC" w:cs="Calibri" w:ascii="Calibri" w:hAnsi="Calibri"/>
          <w:b w:val="false"/>
          <w:i w:val="false"/>
          <w:caps w:val="false"/>
          <w:smallCaps w:val="false"/>
          <w:color w:val="auto"/>
          <w:spacing w:val="0"/>
          <w:kern w:val="0"/>
          <w:sz w:val="22"/>
          <w:szCs w:val="20"/>
          <w:lang w:val="de-DE" w:eastAsia="ar-SA" w:bidi="ar-SA"/>
        </w:rPr>
        <w:t xml:space="preserve">bPK-Berech: </w:t>
      </w:r>
      <w:r>
        <w:rPr>
          <w:rStyle w:val="Starkbetont"/>
          <w:rFonts w:eastAsia="Noto Serif CJK SC" w:cs="Calibri" w:ascii="Calibri" w:hAnsi="Calibri"/>
          <w:b w:val="false"/>
          <w:i w:val="false"/>
          <w:caps w:val="false"/>
          <w:smallCaps w:val="false"/>
          <w:color w:val="auto"/>
          <w:spacing w:val="0"/>
          <w:kern w:val="0"/>
          <w:sz w:val="22"/>
          <w:szCs w:val="20"/>
          <w:lang w:val="de-DE" w:eastAsia="ar-SA" w:bidi="ar-SA"/>
        </w:rPr>
        <w:t>ZP-eidas</w:t>
      </w:r>
    </w:p>
    <w:p>
      <w:pPr>
        <w:pStyle w:val="Textkrper"/>
        <w:widowControl/>
        <w:numPr>
          <w:ilvl w:val="0"/>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Attribute:</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Ausstellungsland</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Vorname (wird für öffentliche SP's per Default übertragen)</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Familienname (wird für öffentliche SP's per Default übertragen)</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Geburtsdatum (wird für öffentliche SP's per Default übertragen)</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bPK (wird per Default übertragen)</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Authentifizierungslevel des Bürgers (wird per Default übertragen)</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Vollmachtenattribute werden automatisch mit der Aktivierung von Vertetungen inkludiert</w:t>
      </w:r>
    </w:p>
    <w:p>
      <w:pPr>
        <w:pStyle w:val="Textkrper"/>
        <w:widowControl/>
        <w:numPr>
          <w:ilvl w:val="0"/>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Anmeldung in Vertretung erlauben</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Vollmachtenprofile entsprechend den in der MS-Proxy-Service hinterlegten Profile</w:t>
      </w:r>
    </w:p>
    <w:p>
      <w:pPr>
        <w:pStyle w:val="Textkrper"/>
        <w:widowControl/>
        <w:numPr>
          <w:ilvl w:val="0"/>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SAML2 Metadaten</w:t>
      </w:r>
    </w:p>
    <w:p>
      <w:pPr>
        <w:pStyle w:val="Textkrper"/>
        <w:widowControl/>
        <w:numPr>
          <w:ilvl w:val="1"/>
          <w:numId w:val="2"/>
        </w:numPr>
        <w:spacing w:before="0" w:after="0"/>
        <w:jc w:val="left"/>
        <w:rPr>
          <w:rFonts w:ascii="Calibri" w:hAnsi="Calibri" w:eastAsia="Noto Serif CJK SC" w:cs="Calibri"/>
          <w:b w:val="false"/>
          <w:b w:val="false"/>
          <w:i w:val="false"/>
          <w:i w:val="false"/>
          <w:caps w:val="false"/>
          <w:smallCaps w:val="false"/>
          <w:color w:val="auto"/>
          <w:spacing w:val="0"/>
          <w:kern w:val="0"/>
          <w:sz w:val="22"/>
          <w:szCs w:val="20"/>
          <w:lang w:val="de-DE" w:eastAsia="ar-SA" w:bidi="ar-SA"/>
        </w:rPr>
      </w:pPr>
      <w:r>
        <w:rPr>
          <w:rFonts w:eastAsia="Noto Serif CJK SC" w:cs="Calibri" w:ascii="Calibri" w:hAnsi="Calibri"/>
          <w:b w:val="false"/>
          <w:i w:val="false"/>
          <w:caps w:val="false"/>
          <w:smallCaps w:val="false"/>
          <w:color w:val="auto"/>
          <w:spacing w:val="0"/>
          <w:kern w:val="0"/>
          <w:sz w:val="22"/>
          <w:szCs w:val="20"/>
          <w:lang w:val="de-DE" w:eastAsia="ar-SA" w:bidi="ar-SA"/>
        </w:rPr>
        <w:t>Die für die Registrierung benötigten SAML2 Metadaten werden automatisch generiert und können unter den folgenden Endpunkten abgerufen werden.</w:t>
      </w:r>
    </w:p>
    <w:p>
      <w:pPr>
        <w:pStyle w:val="Textkrper"/>
        <w:widowControl/>
        <w:numPr>
          <w:ilvl w:val="1"/>
          <w:numId w:val="2"/>
        </w:numPr>
        <w:spacing w:before="0" w:after="0"/>
        <w:jc w:val="left"/>
        <w:rPr/>
      </w:pPr>
      <w:r>
        <w:rPr>
          <w:rFonts w:eastAsia="Noto Serif CJK SC" w:cs="Calibri" w:ascii="Calibri" w:hAnsi="Calibri"/>
          <w:b w:val="false"/>
          <w:i w:val="false"/>
          <w:caps w:val="false"/>
          <w:smallCaps w:val="false"/>
          <w:color w:val="auto"/>
          <w:spacing w:val="0"/>
          <w:kern w:val="0"/>
          <w:sz w:val="22"/>
          <w:szCs w:val="20"/>
          <w:lang w:val="de-DE" w:eastAsia="ar-SA" w:bidi="ar-SA"/>
        </w:rPr>
        <w:t xml:space="preserve">P-Stage: </w:t>
      </w:r>
      <w:r>
        <w:rPr>
          <w:rStyle w:val="Internetverknpfung"/>
          <w:rFonts w:eastAsia="Noto Serif CJK SC" w:cs="Calibri" w:ascii="Calibri" w:hAnsi="Calibri"/>
          <w:b w:val="false"/>
          <w:i w:val="false"/>
          <w:caps w:val="false"/>
          <w:smallCaps w:val="false"/>
          <w:color w:val="auto"/>
          <w:spacing w:val="0"/>
          <w:kern w:val="0"/>
          <w:sz w:val="22"/>
          <w:szCs w:val="20"/>
          <w:lang w:val="de-DE" w:eastAsia="ar-SA" w:bidi="ar-SA"/>
        </w:rPr>
        <w:t>https://eidas.bmi.gv.at/ms_proxyservice/sp/idaustria/eidas/metadata</w:t>
      </w:r>
    </w:p>
    <w:p>
      <w:pPr>
        <w:pStyle w:val="Textkrper"/>
        <w:widowControl/>
        <w:numPr>
          <w:ilvl w:val="1"/>
          <w:numId w:val="2"/>
        </w:numPr>
        <w:spacing w:before="0" w:after="0"/>
        <w:jc w:val="left"/>
        <w:rPr/>
      </w:pPr>
      <w:r>
        <w:rPr>
          <w:rFonts w:eastAsia="Noto Serif CJK SC" w:cs="Calibri" w:ascii="Calibri" w:hAnsi="Calibri"/>
          <w:b w:val="false"/>
          <w:i w:val="false"/>
          <w:caps w:val="false"/>
          <w:smallCaps w:val="false"/>
          <w:color w:val="auto"/>
          <w:spacing w:val="0"/>
          <w:kern w:val="0"/>
          <w:sz w:val="22"/>
          <w:szCs w:val="20"/>
          <w:lang w:val="de-DE" w:eastAsia="ar-SA" w:bidi="ar-SA"/>
        </w:rPr>
        <w:t xml:space="preserve">T-Stage: </w:t>
      </w:r>
      <w:r>
        <w:rPr>
          <w:rStyle w:val="Internetverknpfung"/>
          <w:rFonts w:eastAsia="Noto Serif CJK SC" w:cs="Calibri" w:ascii="Calibri" w:hAnsi="Calibri"/>
          <w:b w:val="false"/>
          <w:i w:val="false"/>
          <w:caps w:val="false"/>
          <w:smallCaps w:val="false"/>
          <w:color w:val="auto"/>
          <w:spacing w:val="0"/>
          <w:kern w:val="0"/>
          <w:sz w:val="22"/>
          <w:szCs w:val="20"/>
          <w:lang w:val="de-DE" w:eastAsia="ar-SA" w:bidi="ar-SA"/>
        </w:rPr>
        <w:t>https://eidas-test.bmi.gv.at/ms_proxyservice/sp/idaustria/eidas/metadata</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1"/>
        <w:gridCol w:w="1702"/>
        <w:gridCol w:w="4121"/>
      </w:tblGrid>
      <w:tr>
        <w:trPr/>
        <w:tc>
          <w:tcPr>
            <w:tcW w:w="347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702"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412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eidas.ms.modules.idaustriaauth.keystore.type</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jks / pkcs12</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Definiert den Keystore Type welcher für SAML2 Kommunikation mit dem ID Austria Systems verwendet werden soll</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eidas.ms.modules.idaustriaauth.keystore.path</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keys/junit.jks</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Pfad zum Software KeyStore im Falle von ‚jks‘ oder ‚pkcs12‘ KeyStoretypen.</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eidas.ms.modules.idaustriaauth.keystore.password</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password</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Password des Software KeyStores im Falle von ‚jks‘ oder ‚pkcs12‘ KeyStoretypen.</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eidas.ms.modules.idaustriaauth.metadata.sign.alias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metadata</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Name des Schlüssels im KeyStore welcher zur Erstellung von signierten SAML2 Metadaten das ID Austria Clients verwendet wird.</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eidas.ms.modules.idaustriaauth.metadata.sign.password</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password</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Passwport des Schlüssels im KeyStore welcher zur Erstellung von signierten SAML2 Metadaten  das ID Austria Clients verwendet wird.</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eidas.ms.modules.idaustriaauth.request.sign.alias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sign</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Name des Schlüssels im KeyStore welcher zur Signatur von SAML2 Requests an das ID Austria System verwendet wird.</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Das Zertifikat zu diesem Schlüssel ist in den SAML2 Metadaten hinterlegt.</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eidas.ms.modules.idaustriaauth.request.sign.password</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password</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Passwort des Schlüssels im KeyStore welcher zur Signatur von SAML2 Requests an das ID Austria System verwendet wird.</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eidas.ms.modules.idaustriaauth.response.encryption.alias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encrypt</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Name des Schlüssels im KeyStore welcher zur Verschlüsselung der SAML2 Response des ID Austria System verwendet wird.</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Das Zertifikat zu diesem Schlüssel ist in den SAML2 Metadaten hinterlegt.</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eidas.ms.modules.idaustriaauth.response.encryption.password</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password</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Passwort des Schlüssels im KeyStore welcher zur Verschlüsselung der SAML2 Response des ID Austria System verwendet wird.</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eidas.ms.modules.idaustriaauth.truststore.type</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jks / pkcs12</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Definiert den TrustStore Type welcher für SAML2 Kommunikation mit dem ID Austria Systems verwendet werden soll.</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eidas.ms.modules.idaustriaauth.truststore.path</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keys/teststore.jks</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Pfad zum Software TrustStore im Falle von ‚jks‘ oder ‚pkcs12‘ TrustStoretypen.</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Dieser TrustStore dient zur Validierung des Vertrauensverhältnisses der SAML2 Metadaten des ID Austria Systems.</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Der in der Beispielkonfiguration beigelegte Truststore beinhaltet bereits die aktuellen SAML2 Metadatensignaturzertifikate des ID Austria Systems.</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eidas.ms.modules.idaustriaauth.truststore.password</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trustIda</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Password des Software TrustStores im Falle von ‚jks‘ oder ‚pkcs12‘ TrustStoretypen.</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eidas.ms.modules.idaustriaauth.idp.entityId</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sz w:val="18"/>
                <w:szCs w:val="18"/>
                <w:shd w:fill="FFFFFF" w:val="clear"/>
                <w:lang w:eastAsia="en-US"/>
              </w:rPr>
              <w:t>P-Stage:</w:t>
            </w:r>
            <w:r>
              <w:rPr>
                <w:rFonts w:eastAsia="Calibri" w:cs="Calibri" w:ascii="Calibri" w:hAnsi="Calibri"/>
                <w:color w:val="000000"/>
                <w:sz w:val="18"/>
                <w:szCs w:val="18"/>
                <w:shd w:fill="FFFFFF" w:val="clear"/>
                <w:lang w:eastAsia="en-US"/>
              </w:rPr>
              <w:t xml:space="preserve"> </w:t>
            </w:r>
            <w:hyperlink r:id="rId3">
              <w:r>
                <w:rPr>
                  <w:rStyle w:val="Internetverknpfung"/>
                  <w:rFonts w:eastAsia="Calibri" w:cs="Calibri" w:ascii="Calibri" w:hAnsi="Calibri"/>
                  <w:color w:val="000000"/>
                  <w:sz w:val="18"/>
                  <w:szCs w:val="18"/>
                  <w:shd w:fill="FFFFFF" w:val="clear"/>
                  <w:lang w:eastAsia="en-US"/>
                </w:rPr>
                <w:t>https://eid.oesterreich.gv.at/auth/idp/shibboleth</w:t>
              </w:r>
            </w:hyperlink>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Normal"/>
              <w:widowControl w:val="false"/>
              <w:spacing w:before="0" w:after="0"/>
              <w:jc w:val="left"/>
              <w:rPr>
                <w:rFonts w:ascii="Calibri" w:hAnsi="Calibri" w:eastAsia="Calibri" w:cs="Calibri"/>
                <w:b/>
                <w:b/>
                <w:bCs/>
                <w:color w:val="000000"/>
                <w:sz w:val="18"/>
                <w:szCs w:val="18"/>
                <w:shd w:fill="FFFFFF" w:val="clear"/>
                <w:lang w:eastAsia="en-US"/>
              </w:rPr>
            </w:pPr>
            <w:r>
              <w:rPr>
                <w:rFonts w:eastAsia="Calibri" w:cs="Calibri" w:ascii="Calibri" w:hAnsi="Calibri"/>
                <w:b/>
                <w:bCs/>
                <w:color w:val="000000"/>
                <w:sz w:val="18"/>
                <w:szCs w:val="18"/>
                <w:shd w:fill="FFFFFF" w:val="clear"/>
                <w:lang w:eastAsia="en-US"/>
              </w:rPr>
              <w:t>Q-Stage:</w:t>
            </w:r>
          </w:p>
          <w:p>
            <w:pPr>
              <w:pStyle w:val="Normal"/>
              <w:widowControl w:val="false"/>
              <w:spacing w:before="0" w:after="0"/>
              <w:jc w:val="left"/>
              <w:rPr>
                <w:rFonts w:ascii="Calibri" w:hAnsi="Calibri" w:eastAsia="Calibri" w:cs="Calibri"/>
                <w:color w:val="000000"/>
                <w:sz w:val="18"/>
                <w:szCs w:val="18"/>
                <w:shd w:fill="FFFFFF" w:val="clear"/>
                <w:lang w:eastAsia="en-US"/>
              </w:rPr>
            </w:pPr>
            <w:hyperlink r:id="rId4">
              <w:r>
                <w:rPr>
                  <w:rStyle w:val="Internetverknpfung"/>
                  <w:rFonts w:eastAsia="Calibri" w:cs="Calibri" w:ascii="Calibri" w:hAnsi="Calibri"/>
                  <w:color w:val="000000"/>
                  <w:sz w:val="18"/>
                  <w:szCs w:val="18"/>
                  <w:shd w:fill="FFFFFF" w:val="clear"/>
                  <w:lang w:eastAsia="en-US"/>
                </w:rPr>
                <w:t>https://eid2.oesterreich.gv.at/auth/idp/shibboleth</w:t>
              </w:r>
            </w:hyperlink>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SAML2 EntityID des ID Austria System</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Die EntityID stellt gleichzeitig auch die URL auf die SAML2 Metadaten des ID Austria Systems dar.</w:t>
            </w:r>
          </w:p>
        </w:tc>
      </w:tr>
      <w:tr>
        <w:trPr/>
        <w:tc>
          <w:tcPr>
            <w:tcW w:w="3471" w:type="dxa"/>
            <w:tcBorders/>
          </w:tcPr>
          <w:p>
            <w:pPr>
              <w:pStyle w:val="Normal"/>
              <w:widowControl w:val="false"/>
              <w:spacing w:before="0" w:after="0"/>
              <w:jc w:val="left"/>
              <w:rPr>
                <w:rFonts w:ascii="Calibri" w:hAnsi="Calibri" w:eastAsia="Calibri" w:cs="Calibri"/>
                <w:b w:val="false"/>
                <w:b w:val="false"/>
                <w:i w:val="false"/>
                <w:i w:val="false"/>
                <w:caps w:val="false"/>
                <w:smallCaps w:val="false"/>
                <w:color w:val="000000"/>
                <w:spacing w:val="0"/>
                <w:kern w:val="0"/>
                <w:sz w:val="18"/>
                <w:szCs w:val="18"/>
                <w:shd w:fill="FFFFFF" w:val="clear"/>
                <w:lang w:val="en-US" w:eastAsia="en-US" w:bidi="ar-SA"/>
              </w:rPr>
            </w:pPr>
            <w:r>
              <w:rPr>
                <w:rFonts w:eastAsia="Calibri" w:cs="Calibri" w:ascii="Calibri" w:hAnsi="Calibri"/>
                <w:b w:val="false"/>
                <w:i w:val="false"/>
                <w:caps w:val="false"/>
                <w:smallCaps w:val="false"/>
                <w:color w:val="000000"/>
                <w:spacing w:val="0"/>
                <w:kern w:val="0"/>
                <w:sz w:val="18"/>
                <w:szCs w:val="18"/>
                <w:shd w:fill="FFFFFF" w:val="clear"/>
                <w:lang w:val="en-US" w:eastAsia="en-US" w:bidi="ar-SA"/>
              </w:rPr>
              <w:t>eidas.ms.modules.idaustriaauth.idp.metadataUrl</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t>URL auf die SAML2 Metadaten des ID Austira System, sofern diese nicht identisch zur EntityId ist.</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1"/>
        <w:gridCol w:w="1702"/>
        <w:gridCol w:w="4121"/>
      </w:tblGrid>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eidas.ms.configuration.pvp.scheme.validation</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true / false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color w:val="000000"/>
                <w:kern w:val="0"/>
                <w:sz w:val="18"/>
                <w:szCs w:val="18"/>
                <w:shd w:fill="FFFFFF" w:val="clear"/>
                <w:lang w:eastAsia="en-US" w:bidi="ar-SA"/>
              </w:rPr>
              <w:t>true</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Aktiviert die XML Schemavalidierung für SAML2 Metadaten und SAML2 Requests</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eidas.ms.configuration.pvp.enable.entitycategories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true / false</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 xml:space="preserve">Default: </w:t>
            </w:r>
            <w:r>
              <w:rPr>
                <w:rFonts w:eastAsia="Calibri" w:cs="Calibri" w:ascii="Calibri" w:hAnsi="Calibri"/>
                <w:color w:val="000000"/>
                <w:kern w:val="0"/>
                <w:sz w:val="18"/>
                <w:szCs w:val="18"/>
                <w:shd w:fill="FFFFFF" w:val="clear"/>
                <w:lang w:eastAsia="en-US" w:bidi="ar-SA"/>
              </w:rPr>
              <w:t>false</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Aktiviert die Unterstützung von SAML2 EntityCategories, entsprechend dem PVP2 S-Profil</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eidas.ms.pvp2.metadata.organisation.name</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OrganizationName entsprechend SAML2 Metadatenspezifikation 2.3.2.1 Element &lt;Organisation&gt;</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eidas.ms.pvp2.metadata.organisation.friendyname</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OrganizationDisplayName entsprechend SAML2 Metadatenspezifikation 2.3.2.1 Element &lt;Organisation&gt;</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eidas.ms.pvp2.metadata.organisation.url</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OrganizationURL entsprechend SAML2 Metadatenspezifikation 2.3.2.1 Element &lt;Organisation&gt;</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eidas.ms.pvp2.metadata.contact.givenname</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sz w:val="18"/>
                <w:szCs w:val="18"/>
                <w:shd w:fill="FFFFFF" w:val="clear"/>
                <w:lang w:val="en-US"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GivenName entsprechend SAML2 Metadatenspezifikation 2.3.2.2 Element &lt;ContactPerson&gt;</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Als &lt;contactType&gt; wird immer ‚technical‘ gesetzt.</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eidas.ms.pvp2.metadata.contact.surname</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sz w:val="18"/>
                <w:szCs w:val="18"/>
                <w:shd w:fill="FFFFFF" w:val="clear"/>
                <w:lang w:val="en-US"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SurName entsprechend SAML2 Metadatenspezifikation 2.3.2.2 Element &lt;ContactPerson&gt;</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Als &lt;contactType&gt; wird immer ‚technical‘ gesetzt.</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kern w:val="0"/>
                <w:sz w:val="18"/>
                <w:szCs w:val="18"/>
                <w:shd w:fill="FFFFFF" w:val="clear"/>
                <w:lang w:val="en-US" w:eastAsia="en-US" w:bidi="ar-SA"/>
              </w:rPr>
              <w:t>eidas.ms.pvp2.metadata.contact.email</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sz w:val="18"/>
                <w:szCs w:val="18"/>
                <w:shd w:fill="FFFFFF" w:val="clear"/>
                <w:lang w:val="en-US"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EmailAddress entsprechend SAML2 Metadatenspezifikation 2.3.2.2 Element &lt;ContactPerson&gt;</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Als &lt;contactType&gt; wird immer ‚technical‘ gesetzt.</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3"/>
          <w:numId w:val="30"/>
        </w:numPr>
        <w:ind w:left="709" w:hanging="709"/>
        <w:rPr>
          <w:rFonts w:ascii="Calibri" w:hAnsi="Calibri" w:cs="Calibri"/>
        </w:rPr>
      </w:pPr>
      <w:bookmarkStart w:id="18" w:name="__RefHeading___Toc3549_3963215250"/>
      <w:bookmarkEnd w:id="18"/>
      <w:r>
        <w:rPr>
          <w:rFonts w:cs="Calibri" w:ascii="Calibri" w:hAnsi="Calibri"/>
        </w:rPr>
        <w:t>BORIS Attribute für eJustice</w:t>
      </w:r>
    </w:p>
    <w:p>
      <w:pPr>
        <w:pStyle w:val="Berschrift3"/>
        <w:numPr>
          <w:ilvl w:val="0"/>
          <w:numId w:val="0"/>
        </w:numPr>
        <w:ind w:left="0" w:hanging="0"/>
        <w:rPr>
          <w:rFonts w:ascii="Calibri" w:hAnsi="Calibri" w:eastAsia="Noto Serif CJK SC" w:cs="Calibri"/>
          <w:color w:val="auto"/>
          <w:kern w:val="0"/>
          <w:sz w:val="22"/>
          <w:szCs w:val="20"/>
          <w:lang w:val="de-DE" w:eastAsia="ar-SA" w:bidi="ar-SA"/>
        </w:rPr>
      </w:pPr>
      <w:r>
        <w:rPr>
          <w:rFonts w:eastAsia="Noto Serif CJK SC" w:cs="Calibri" w:ascii="Calibri" w:hAnsi="Calibri"/>
          <w:color w:val="auto"/>
          <w:kern w:val="0"/>
          <w:sz w:val="22"/>
          <w:szCs w:val="20"/>
          <w:lang w:val="de-DE" w:eastAsia="ar-SA" w:bidi="ar-SA"/>
        </w:rPr>
      </w:r>
    </w:p>
    <w:p>
      <w:pPr>
        <w:pStyle w:val="Berschrift3"/>
        <w:numPr>
          <w:ilvl w:val="0"/>
          <w:numId w:val="0"/>
        </w:numPr>
        <w:ind w:left="0" w:hanging="0"/>
        <w:rPr>
          <w:rFonts w:ascii="Calibri" w:hAnsi="Calibri" w:eastAsia="Noto Serif CJK SC" w:cs="Calibri"/>
          <w:color w:val="auto"/>
          <w:kern w:val="0"/>
          <w:sz w:val="22"/>
          <w:szCs w:val="20"/>
          <w:lang w:val="de-DE" w:eastAsia="ar-SA" w:bidi="ar-SA"/>
        </w:rPr>
      </w:pPr>
      <w:r>
        <w:rPr>
          <w:rFonts w:eastAsia="Noto Serif CJK SC" w:cs="Calibri" w:ascii="Calibri" w:hAnsi="Calibri"/>
          <w:color w:val="auto"/>
          <w:kern w:val="0"/>
          <w:sz w:val="22"/>
          <w:szCs w:val="20"/>
          <w:lang w:val="de-DE" w:eastAsia="ar-SA" w:bidi="ar-SA"/>
        </w:rPr>
        <w:t>Sektorspezifische eIDAS Attribute-Konfiguration für die Unterstützung von eJustice Anwendungen der Europäischen Kommission Diese Konfiguration kommt nur dann zum Einsatz wenn die folgenden sektorspezifischen eIDAS Attribute vom eIDAS-Connector angefordert werden:</w:t>
      </w:r>
    </w:p>
    <w:p>
      <w:pPr>
        <w:pStyle w:val="Berschrift3"/>
        <w:numPr>
          <w:ilvl w:val="3"/>
          <w:numId w:val="4"/>
        </w:numPr>
        <w:rPr/>
      </w:pPr>
      <w:r>
        <w:rPr>
          <w:rStyle w:val="Internetverknpfung"/>
          <w:rFonts w:eastAsia="Noto Serif CJK SC" w:cs="Calibri" w:ascii="Calibri" w:hAnsi="Calibri"/>
          <w:color w:val="auto"/>
          <w:kern w:val="0"/>
          <w:sz w:val="22"/>
          <w:szCs w:val="20"/>
          <w:lang w:val="de-DE" w:eastAsia="ar-SA" w:bidi="ar-SA"/>
        </w:rPr>
        <w:t>http://e-justice.europa.eu/attributes/naturalperson/eJusticeNaturalPersonRole</w:t>
      </w:r>
    </w:p>
    <w:p>
      <w:pPr>
        <w:pStyle w:val="Berschrift3"/>
        <w:numPr>
          <w:ilvl w:val="3"/>
          <w:numId w:val="4"/>
        </w:numPr>
        <w:rPr/>
      </w:pPr>
      <w:r>
        <w:rPr>
          <w:rStyle w:val="Internetverknpfung"/>
          <w:rFonts w:eastAsia="Noto Serif CJK SC" w:cs="Calibri" w:ascii="Calibri" w:hAnsi="Calibri"/>
          <w:color w:val="auto"/>
          <w:kern w:val="0"/>
          <w:sz w:val="22"/>
          <w:szCs w:val="20"/>
          <w:lang w:val="de-DE" w:eastAsia="ar-SA" w:bidi="ar-SA"/>
        </w:rPr>
        <w:t>http://e-justice.europa.eu/attributes/legalperson/eJusticeLegalPersonRole</w:t>
      </w:r>
    </w:p>
    <w:p>
      <w:pPr>
        <w:pStyle w:val="Berschrift3"/>
        <w:numPr>
          <w:ilvl w:val="0"/>
          <w:numId w:val="0"/>
        </w:numPr>
        <w:ind w:left="0" w:hanging="0"/>
        <w:rPr>
          <w:rFonts w:ascii="Calibri" w:hAnsi="Calibri" w:eastAsia="Noto Serif CJK SC" w:cs="Calibri"/>
          <w:color w:val="auto"/>
          <w:kern w:val="0"/>
          <w:sz w:val="22"/>
          <w:szCs w:val="20"/>
          <w:lang w:val="de-DE" w:eastAsia="ar-SA" w:bidi="ar-SA"/>
        </w:rPr>
      </w:pPr>
      <w:r>
        <w:rPr>
          <w:rFonts w:eastAsia="Noto Serif CJK SC" w:cs="Calibri" w:ascii="Calibri" w:hAnsi="Calibri"/>
          <w:color w:val="auto"/>
          <w:kern w:val="0"/>
          <w:sz w:val="22"/>
          <w:szCs w:val="20"/>
          <w:lang w:val="de-DE" w:eastAsia="ar-SA" w:bidi="ar-SA"/>
        </w:rPr>
      </w:r>
    </w:p>
    <w:p>
      <w:pPr>
        <w:pStyle w:val="Berschrift3"/>
        <w:numPr>
          <w:ilvl w:val="0"/>
          <w:numId w:val="0"/>
        </w:numPr>
        <w:ind w:left="0" w:hanging="0"/>
        <w:rPr>
          <w:rFonts w:ascii="Calibri" w:hAnsi="Calibri" w:eastAsia="Noto Serif CJK SC" w:cs="Calibri"/>
          <w:color w:val="auto"/>
          <w:kern w:val="0"/>
          <w:sz w:val="22"/>
          <w:szCs w:val="20"/>
          <w:lang w:val="de-DE" w:eastAsia="ar-SA" w:bidi="ar-SA"/>
        </w:rPr>
      </w:pPr>
      <w:r>
        <w:rPr>
          <w:rFonts w:eastAsia="Noto Serif CJK SC" w:cs="Calibri" w:ascii="Calibri" w:hAnsi="Calibri"/>
          <w:b/>
          <w:bCs/>
          <w:color w:val="auto"/>
          <w:kern w:val="0"/>
          <w:sz w:val="22"/>
          <w:szCs w:val="20"/>
          <w:lang w:val="de-DE" w:eastAsia="ar-SA" w:bidi="ar-SA"/>
        </w:rPr>
        <w:t>Hinweis:</w:t>
      </w:r>
      <w:r>
        <w:rPr>
          <w:rFonts w:eastAsia="Noto Serif CJK SC" w:cs="Calibri" w:ascii="Calibri" w:hAnsi="Calibri"/>
          <w:color w:val="auto"/>
          <w:kern w:val="0"/>
          <w:sz w:val="22"/>
          <w:szCs w:val="20"/>
          <w:lang w:val="de-DE" w:eastAsia="ar-SA" w:bidi="ar-SA"/>
        </w:rPr>
        <w:t xml:space="preserve"> Die für eJustice benötigte Funktionalität wurde bereits konzeptionell berücksichtigt jedoch fehlen aus aktueller Sicht die finale Abstimmung für die Konfiguration und die Inbetriebnahme. Somit können diese Parameter bis auf weiteres unberücksichtigt bleiben und es können die Defaultwert aus der Beispielkonfiguration übernommen werden.</w:t>
      </w:r>
    </w:p>
    <w:p>
      <w:pPr>
        <w:pStyle w:val="Berschrift3"/>
        <w:numPr>
          <w:ilvl w:val="0"/>
          <w:numId w:val="0"/>
        </w:numPr>
        <w:ind w:left="0" w:hanging="0"/>
        <w:rPr>
          <w:rFonts w:ascii="Calibri" w:hAnsi="Calibri" w:eastAsia="Noto Serif CJK SC" w:cs="Calibri"/>
          <w:color w:val="auto"/>
          <w:kern w:val="0"/>
          <w:sz w:val="22"/>
          <w:szCs w:val="20"/>
          <w:lang w:val="de-DE" w:eastAsia="ar-SA" w:bidi="ar-SA"/>
        </w:rPr>
      </w:pPr>
      <w:r>
        <w:rPr>
          <w:rFonts w:eastAsia="Noto Serif CJK SC" w:cs="Calibri" w:ascii="Calibri" w:hAnsi="Calibri"/>
          <w:color w:val="auto"/>
          <w:kern w:val="0"/>
          <w:sz w:val="22"/>
          <w:szCs w:val="20"/>
          <w:lang w:val="de-DE" w:eastAsia="ar-SA" w:bidi="ar-SA"/>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1"/>
        <w:gridCol w:w="1702"/>
        <w:gridCol w:w="4121"/>
      </w:tblGrid>
      <w:tr>
        <w:trPr/>
        <w:tc>
          <w:tcPr>
            <w:tcW w:w="347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702"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Wert(e)</w:t>
            </w:r>
          </w:p>
        </w:tc>
        <w:tc>
          <w:tcPr>
            <w:tcW w:w="412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71"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u w:val="single"/>
                <w:shd w:fill="FFFFFF" w:val="clear"/>
                <w:lang w:val="de-DE" w:eastAsia="en-US" w:bidi="ar-SA"/>
              </w:rPr>
              <w:t>eidas.ms.advanced.attributes.ejusticerole.mandate.profiles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w:t>
            </w:r>
            <w:r>
              <w:rPr>
                <w:rFonts w:eastAsia="Calibri" w:cs="Calibri" w:ascii="Calibri" w:hAnsi="Calibri"/>
                <w:color w:val="000000"/>
                <w:kern w:val="0"/>
                <w:sz w:val="18"/>
                <w:szCs w:val="18"/>
                <w:shd w:fill="FFFF00" w:val="clear"/>
                <w:lang w:eastAsia="en-US" w:bidi="ar-SA"/>
              </w:rPr>
              <w:t>TODO</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Liste von Vollmachtenprofilen über welche Rollen für eJustice Anwendungen abgebildet werden. Diese Liste wird an das IDA System übergeben.</w:t>
            </w:r>
          </w:p>
        </w:tc>
      </w:tr>
      <w:tr>
        <w:trPr/>
        <w:tc>
          <w:tcPr>
            <w:tcW w:w="3471"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u w:val="single"/>
                <w:shd w:fill="FFFFFF" w:val="clear"/>
                <w:lang w:val="de-DE" w:eastAsia="en-US" w:bidi="ar-SA"/>
              </w:rPr>
              <w:t>eidas.ms.advanced.attributes.ejusticerole.mandate.mode</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forceLegal</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Vollmachtenbetriebsmodus am IDA System entsprechend der Liste von Vollmachtenprofile.</w:t>
              <w:br/>
            </w:r>
            <w:r>
              <w:rPr>
                <w:rFonts w:eastAsia="Calibri" w:cs="Calibri" w:ascii="Calibri" w:hAnsi="Calibri"/>
                <w:b/>
                <w:bCs/>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folgende Werte stehen zur Verfügung.</w:t>
            </w:r>
          </w:p>
          <w:p>
            <w:pPr>
              <w:pStyle w:val="Normal"/>
              <w:widowControl w:val="false"/>
              <w:numPr>
                <w:ilvl w:val="0"/>
                <w:numId w:val="3"/>
              </w:numPr>
              <w:suppressAutoHyphens w:val="true"/>
              <w:bidi w:val="0"/>
              <w:spacing w:before="0" w:after="0"/>
              <w:ind w:left="454" w:right="0" w:hanging="340"/>
              <w:jc w:val="left"/>
              <w:rPr>
                <w:sz w:val="18"/>
                <w:szCs w:val="18"/>
              </w:rPr>
            </w:pPr>
            <w:r>
              <w:rPr>
                <w:sz w:val="18"/>
                <w:szCs w:val="18"/>
              </w:rPr>
              <w:t>legal: ohne Vertretung oder Vertretung für juristische Personen</w:t>
            </w:r>
          </w:p>
          <w:p>
            <w:pPr>
              <w:pStyle w:val="Normal"/>
              <w:widowControl w:val="false"/>
              <w:numPr>
                <w:ilvl w:val="0"/>
                <w:numId w:val="3"/>
              </w:numPr>
              <w:suppressAutoHyphens w:val="true"/>
              <w:bidi w:val="0"/>
              <w:spacing w:before="0" w:after="0"/>
              <w:ind w:left="454" w:right="0" w:hanging="340"/>
              <w:jc w:val="left"/>
              <w:rPr>
                <w:sz w:val="18"/>
                <w:szCs w:val="18"/>
              </w:rPr>
            </w:pPr>
            <w:r>
              <w:rPr>
                <w:sz w:val="18"/>
                <w:szCs w:val="18"/>
              </w:rPr>
              <w:t>natural: ohne Vertretung oder Vertretung für natürliche Personen</w:t>
            </w:r>
          </w:p>
          <w:p>
            <w:pPr>
              <w:pStyle w:val="Normal"/>
              <w:widowControl w:val="false"/>
              <w:numPr>
                <w:ilvl w:val="0"/>
                <w:numId w:val="3"/>
              </w:numPr>
              <w:suppressAutoHyphens w:val="true"/>
              <w:bidi w:val="0"/>
              <w:spacing w:before="0" w:after="0"/>
              <w:ind w:left="454" w:right="0" w:hanging="340"/>
              <w:jc w:val="left"/>
              <w:rPr>
                <w:sz w:val="18"/>
                <w:szCs w:val="18"/>
              </w:rPr>
            </w:pPr>
            <w:r>
              <w:rPr>
                <w:sz w:val="18"/>
                <w:szCs w:val="18"/>
              </w:rPr>
              <w:t>forceLegal: nur Vertretung für juristische Personen</w:t>
            </w:r>
          </w:p>
          <w:p>
            <w:pPr>
              <w:pStyle w:val="Normal"/>
              <w:widowControl w:val="false"/>
              <w:numPr>
                <w:ilvl w:val="0"/>
                <w:numId w:val="3"/>
              </w:numPr>
              <w:suppressAutoHyphens w:val="true"/>
              <w:bidi w:val="0"/>
              <w:spacing w:before="0" w:after="0"/>
              <w:ind w:left="454" w:right="0" w:hanging="340"/>
              <w:jc w:val="left"/>
              <w:rPr>
                <w:sz w:val="18"/>
                <w:szCs w:val="18"/>
              </w:rPr>
            </w:pPr>
            <w:r>
              <w:rPr>
                <w:sz w:val="18"/>
                <w:szCs w:val="18"/>
              </w:rPr>
              <w:t>forceNatural: nur Vertretung für natürliche Personen</w:t>
            </w:r>
          </w:p>
          <w:p>
            <w:pPr>
              <w:pStyle w:val="Normal"/>
              <w:widowControl w:val="false"/>
              <w:numPr>
                <w:ilvl w:val="0"/>
                <w:numId w:val="3"/>
              </w:numPr>
              <w:suppressAutoHyphens w:val="true"/>
              <w:bidi w:val="0"/>
              <w:spacing w:before="0" w:after="0"/>
              <w:ind w:left="454" w:right="0" w:hanging="340"/>
              <w:jc w:val="left"/>
              <w:rPr>
                <w:sz w:val="18"/>
                <w:szCs w:val="18"/>
              </w:rPr>
            </w:pPr>
            <w:r>
              <w:rPr>
                <w:sz w:val="18"/>
                <w:szCs w:val="18"/>
              </w:rPr>
              <w:t>all: ohne Vertretung und mit Vertretung erlaubt</w:t>
            </w:r>
          </w:p>
          <w:p>
            <w:pPr>
              <w:pStyle w:val="Normal"/>
              <w:widowControl w:val="false"/>
              <w:numPr>
                <w:ilvl w:val="0"/>
                <w:numId w:val="3"/>
              </w:numPr>
              <w:suppressAutoHyphens w:val="true"/>
              <w:bidi w:val="0"/>
              <w:spacing w:before="0" w:after="0"/>
              <w:ind w:left="454" w:right="0" w:hanging="340"/>
              <w:jc w:val="left"/>
              <w:rPr>
                <w:sz w:val="18"/>
                <w:szCs w:val="18"/>
              </w:rPr>
            </w:pPr>
            <w:r>
              <w:rPr>
                <w:sz w:val="18"/>
                <w:szCs w:val="18"/>
              </w:rPr>
              <w:t>forceAll: nur Vertretung erlaubt</w:t>
            </w:r>
          </w:p>
          <w:p>
            <w:pPr>
              <w:pStyle w:val="Normal"/>
              <w:widowControl w:val="false"/>
              <w:numPr>
                <w:ilvl w:val="0"/>
                <w:numId w:val="3"/>
              </w:numPr>
              <w:suppressAutoHyphens w:val="true"/>
              <w:bidi w:val="0"/>
              <w:spacing w:before="0" w:after="0"/>
              <w:ind w:left="454" w:right="0" w:hanging="340"/>
              <w:jc w:val="left"/>
              <w:rPr>
                <w:sz w:val="18"/>
                <w:szCs w:val="18"/>
              </w:rPr>
            </w:pPr>
            <w:r>
              <w:rPr>
                <w:sz w:val="18"/>
                <w:szCs w:val="18"/>
              </w:rPr>
              <w:t>none: keine Vertretung erlaubt</w:t>
            </w:r>
          </w:p>
          <w:p>
            <w:pPr>
              <w:pStyle w:val="Normal"/>
              <w:widowControl w:val="false"/>
              <w:suppressAutoHyphens w:val="true"/>
              <w:bidi w:val="0"/>
              <w:spacing w:before="0" w:after="0"/>
              <w:ind w:right="0" w:hanging="0"/>
              <w:jc w:val="left"/>
              <w:rPr>
                <w:sz w:val="18"/>
                <w:szCs w:val="18"/>
              </w:rPr>
            </w:pPr>
            <w:r>
              <w:rPr>
                <w:sz w:val="18"/>
                <w:szCs w:val="18"/>
              </w:rPr>
            </w:r>
          </w:p>
        </w:tc>
      </w:tr>
      <w:tr>
        <w:trPr/>
        <w:tc>
          <w:tcPr>
            <w:tcW w:w="3471"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u w:val="single"/>
                <w:shd w:fill="FFFFFF" w:val="clear"/>
                <w:lang w:val="de-DE" w:eastAsia="en-US" w:bidi="ar-SA"/>
              </w:rPr>
              <w:t>eidas.ms.advanced.attributes.ejusticerole.additional.ida.attributes</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Komma-separierte Liste von ID Austria Attributen welche zusätzlich am IDA System angefragt werden müssen</w:t>
            </w:r>
          </w:p>
        </w:tc>
      </w:tr>
      <w:tr>
        <w:trPr/>
        <w:tc>
          <w:tcPr>
            <w:tcW w:w="3471" w:type="dxa"/>
            <w:tcBorders/>
          </w:tcPr>
          <w:p>
            <w:pPr>
              <w:pStyle w:val="Normal"/>
              <w:widowControl w:val="false"/>
              <w:spacing w:before="0" w:after="0"/>
              <w:jc w:val="left"/>
              <w:rPr>
                <w:highlight w:val="none"/>
                <w:u w:val="single"/>
                <w:shd w:fill="FFFF00" w:val="clear"/>
              </w:rPr>
            </w:pPr>
            <w:r>
              <w:rPr>
                <w:rFonts w:eastAsia="Calibri" w:cs="Calibri" w:ascii="Calibri" w:hAnsi="Calibri"/>
                <w:color w:val="000000"/>
                <w:kern w:val="0"/>
                <w:sz w:val="18"/>
                <w:szCs w:val="18"/>
                <w:u w:val="single"/>
                <w:shd w:fill="FFFFFF" w:val="clear"/>
                <w:lang w:val="de-DE" w:eastAsia="en-US" w:bidi="ar-SA"/>
              </w:rPr>
              <w:t>eidas.ms.advanced.attributes.ejusticerole.value.x</w:t>
            </w:r>
          </w:p>
        </w:tc>
        <w:tc>
          <w:tcPr>
            <w:tcW w:w="1702" w:type="dxa"/>
            <w:tcBorders/>
          </w:tcPr>
          <w:p>
            <w:pPr>
              <w:pStyle w:val="Normal"/>
              <w:widowControl w:val="false"/>
              <w:spacing w:before="0" w:after="0"/>
              <w:jc w:val="left"/>
              <w:rPr>
                <w:b w:val="false"/>
                <w:b w:val="false"/>
                <w:bCs w:val="false"/>
              </w:rPr>
            </w:pPr>
            <w:r>
              <w:rPr>
                <w:b w:val="false"/>
                <w:bCs w:val="false"/>
              </w:rPr>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Default:</w:t>
            </w:r>
            <w:r>
              <w:rPr>
                <w:rFonts w:eastAsia="Calibri" w:cs="Calibri" w:ascii="Calibri" w:hAnsi="Calibri"/>
                <w:color w:val="000000"/>
                <w:kern w:val="0"/>
                <w:sz w:val="18"/>
                <w:szCs w:val="18"/>
                <w:shd w:fill="FFFFFF" w:val="clear"/>
                <w:lang w:eastAsia="en-US" w:bidi="ar-SA"/>
              </w:rPr>
              <w:t xml:space="preserve"> </w:t>
            </w:r>
            <w:r>
              <w:rPr>
                <w:rFonts w:eastAsia="Calibri" w:cs="Calibri" w:ascii="Calibri" w:hAnsi="Calibri"/>
                <w:color w:val="000000"/>
                <w:kern w:val="0"/>
                <w:sz w:val="18"/>
                <w:szCs w:val="18"/>
                <w:shd w:fill="FFFF00" w:val="clear"/>
                <w:lang w:eastAsia="en-US" w:bidi="ar-SA"/>
              </w:rPr>
              <w:t>TODO</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Mappt das im Anmeldevorgang ausgewählte Vollmachtenprofil auf den Attributwert des eJustice Attributes. Bei Definiton mehrerer Mappings mux das ‚x‘ durch eine eindeutige Id ersetzt werden.</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Beispie für einen Konfigurationswert:</w:t>
            </w:r>
            <w:r>
              <w:rPr>
                <w:rFonts w:eastAsia="Calibri" w:cs="Calibri" w:ascii="Calibri" w:hAnsi="Calibri"/>
                <w:color w:val="000000"/>
                <w:kern w:val="0"/>
                <w:sz w:val="18"/>
                <w:szCs w:val="18"/>
                <w:shd w:fill="FFFFFF" w:val="clear"/>
                <w:lang w:eastAsia="en-US" w:bidi="ar-SA"/>
              </w:rPr>
              <w:br/>
              <w:t>TODO</w:t>
            </w:r>
          </w:p>
        </w:tc>
      </w:tr>
    </w:tbl>
    <w:p>
      <w:pPr>
        <w:pStyle w:val="Normal"/>
        <w:rPr>
          <w:rFonts w:ascii="Calibri" w:hAnsi="Calibri" w:cs="Calibri"/>
        </w:rPr>
      </w:pPr>
      <w:r>
        <w:rPr>
          <w:rFonts w:cs="Calibri" w:ascii="Calibri" w:hAnsi="Calibri"/>
        </w:rPr>
      </w:r>
    </w:p>
    <w:p>
      <w:pPr>
        <w:pStyle w:val="Normal"/>
        <w:rPr>
          <w:rFonts w:ascii="Calibri" w:hAnsi="Calibri" w:cs="Calibri"/>
        </w:rPr>
      </w:pPr>
      <w:r>
        <w:rPr>
          <w:rFonts w:cs="Calibri" w:ascii="Calibri" w:hAnsi="Calibri"/>
        </w:rPr>
      </w:r>
    </w:p>
    <w:p>
      <w:pPr>
        <w:pStyle w:val="Berschrift3"/>
        <w:numPr>
          <w:ilvl w:val="3"/>
          <w:numId w:val="31"/>
        </w:numPr>
        <w:ind w:left="709" w:hanging="709"/>
        <w:rPr>
          <w:rFonts w:ascii="Calibri" w:hAnsi="Calibri" w:cs="Calibri"/>
        </w:rPr>
      </w:pPr>
      <w:bookmarkStart w:id="19" w:name="__RefHeading___Toc3553_3963215250"/>
      <w:bookmarkEnd w:id="19"/>
      <w:r>
        <w:rPr>
          <w:rFonts w:cs="Calibri" w:ascii="Calibri" w:hAnsi="Calibri"/>
        </w:rPr>
        <w:t>Spezifische Konfigurationen für eIDAS-Connectoren</w:t>
      </w:r>
    </w:p>
    <w:p>
      <w:pPr>
        <w:pStyle w:val="Textkrper"/>
        <w:rPr>
          <w:rFonts w:ascii="Calibri" w:hAnsi="Calibri" w:cs="Calibri"/>
        </w:rPr>
      </w:pPr>
      <w:r>
        <w:rPr>
          <w:rFonts w:cs="Calibri" w:ascii="Calibri" w:hAnsi="Calibri"/>
        </w:rPr>
        <w:t>Der MS-Proxy-Service implementiert kein WhiteListing von erlaubten ausländischen eIDAS-Connectoren. Sollte ein WhiteListing erwünscht sein muss dieses über den EIDAS-Node umgesetzt werden.</w:t>
      </w:r>
    </w:p>
    <w:p>
      <w:pPr>
        <w:pStyle w:val="Textkrper"/>
        <w:rPr>
          <w:rFonts w:ascii="Calibri" w:hAnsi="Calibri" w:cs="Calibri"/>
        </w:rPr>
      </w:pPr>
      <w:r>
        <w:rPr>
          <w:rFonts w:cs="Calibri" w:ascii="Calibri" w:hAnsi="Calibri"/>
        </w:rPr>
        <w:t>Allgemein werden alle Anmeldeparameter dynamisch aus dem Authentifizierungsrequest des anfragenden eIDAS-Connectors extrahiert und die Defaultkonfiguration angewendet. In manchen Fällen kann es jedoch notwendig werden das Prozessparameter für einen spezifische eIDAS-Connector angepasst werden müssen, da z.B. der CountryCode der anfragenden Stelle nicht korrekt aus den Anfrageinformationen extrahiert werden kann. Das x in eidas.ms.connector.x.uniqueID muss ersetzt werden, um eine eindeutige Id für dieses Set von Konfigurationswerten zu erhalten.</w:t>
      </w:r>
    </w:p>
    <w:p>
      <w:pPr>
        <w:pStyle w:val="Textkrper"/>
        <w:rPr>
          <w:rFonts w:ascii="Calibri" w:hAnsi="Calibri" w:cs="Calibri"/>
        </w:rPr>
      </w:pPr>
      <w:r>
        <w:rPr>
          <w:rFonts w:cs="Calibri" w:ascii="Calibri" w:hAnsi="Calibri"/>
        </w:rPr>
      </w:r>
    </w:p>
    <w:tbl>
      <w:tblPr>
        <w:tblStyle w:val="1045"/>
        <w:tblW w:w="9294"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3471"/>
        <w:gridCol w:w="1702"/>
        <w:gridCol w:w="4121"/>
      </w:tblGrid>
      <w:tr>
        <w:trPr/>
        <w:tc>
          <w:tcPr>
            <w:tcW w:w="347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Name</w:t>
            </w:r>
          </w:p>
        </w:tc>
        <w:tc>
          <w:tcPr>
            <w:tcW w:w="1702" w:type="dxa"/>
            <w:tcBorders>
              <w:bottom w:val="single" w:sz="12" w:space="0" w:color="656565"/>
            </w:tcBorders>
          </w:tcPr>
          <w:p>
            <w:pPr>
              <w:pStyle w:val="Normal"/>
              <w:widowControl w:val="false"/>
              <w:spacing w:before="0" w:after="0"/>
              <w:jc w:val="center"/>
              <w:rPr>
                <w:rFonts w:ascii="Calibri" w:hAnsi="Calibri" w:eastAsia="Calibri" w:cs="Calibri"/>
                <w:b/>
                <w:b/>
                <w:bCs/>
                <w:sz w:val="20"/>
                <w:szCs w:val="22"/>
                <w:lang w:val="en-US" w:eastAsia="en-US"/>
              </w:rPr>
            </w:pPr>
            <w:r>
              <w:rPr>
                <w:rFonts w:eastAsia="Calibri" w:cs="Calibri" w:ascii="Calibri" w:hAnsi="Calibri"/>
                <w:b/>
                <w:bCs/>
                <w:color w:val="404040"/>
                <w:kern w:val="0"/>
                <w:sz w:val="20"/>
                <w:szCs w:val="22"/>
                <w:lang w:val="en-US" w:eastAsia="en-US" w:bidi="ar-SA"/>
              </w:rPr>
              <w:t>Required</w:t>
            </w:r>
          </w:p>
        </w:tc>
        <w:tc>
          <w:tcPr>
            <w:tcW w:w="4121" w:type="dxa"/>
            <w:tcBorders>
              <w:bottom w:val="single" w:sz="12" w:space="0" w:color="656565"/>
            </w:tcBorders>
          </w:tcPr>
          <w:p>
            <w:pPr>
              <w:pStyle w:val="Normal"/>
              <w:widowControl w:val="false"/>
              <w:spacing w:before="0" w:after="0"/>
              <w:jc w:val="center"/>
              <w:rPr>
                <w:rFonts w:ascii="Calibri" w:hAnsi="Calibri" w:cs="Calibri"/>
                <w:b/>
                <w:b/>
                <w:bCs/>
                <w:sz w:val="20"/>
              </w:rPr>
            </w:pPr>
            <w:r>
              <w:rPr>
                <w:rFonts w:eastAsia="Calibri" w:cs="Calibri" w:ascii="Calibri" w:hAnsi="Calibri"/>
                <w:b/>
                <w:bCs/>
                <w:color w:val="404040"/>
                <w:kern w:val="0"/>
                <w:sz w:val="20"/>
                <w:szCs w:val="22"/>
                <w:lang w:eastAsia="en-US" w:bidi="ar-SA"/>
              </w:rPr>
              <w:t>Beschreibung</w:t>
            </w:r>
          </w:p>
        </w:tc>
      </w:tr>
      <w:tr>
        <w:trPr/>
        <w:tc>
          <w:tcPr>
            <w:tcW w:w="347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eidas.ms.sp.x.uniqueID=http://test.com/test</w:t>
            </w:r>
          </w:p>
        </w:tc>
        <w:tc>
          <w:tcPr>
            <w:tcW w:w="1702" w:type="dxa"/>
            <w:tcBorders/>
          </w:tcPr>
          <w:p>
            <w:pPr>
              <w:pStyle w:val="Normal"/>
              <w:widowControl w:val="false"/>
              <w:spacing w:before="0" w:after="0"/>
              <w:jc w:val="center"/>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X</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Eindeutige Id (SAML2 EntityId) des eIDAS-Connectors für welchen dieses Konfigurationselement gilt</w:t>
            </w:r>
          </w:p>
        </w:tc>
      </w:tr>
      <w:tr>
        <w:trPr/>
        <w:tc>
          <w:tcPr>
            <w:tcW w:w="3471"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eidas.ms.connector.x.countryCode</w:t>
            </w:r>
          </w:p>
        </w:tc>
        <w:tc>
          <w:tcPr>
            <w:tcW w:w="1702" w:type="dxa"/>
            <w:tcBorders/>
          </w:tcPr>
          <w:p>
            <w:pPr>
              <w:pStyle w:val="Normal"/>
              <w:widowControl w:val="false"/>
              <w:spacing w:before="0" w:after="0"/>
              <w:jc w:val="center"/>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X</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CountryCode oder Kennenzeichen der länderübergreifenden Organisation, welche diesem eIDAS-Connector zugeordnet ist. Z.B.: ES, EU, ...</w:t>
            </w:r>
          </w:p>
        </w:tc>
      </w:tr>
      <w:tr>
        <w:trPr/>
        <w:tc>
          <w:tcPr>
            <w:tcW w:w="3471"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eidas.ms.connector.x.mandates.enabled</w:t>
            </w:r>
          </w:p>
        </w:tc>
        <w:tc>
          <w:tcPr>
            <w:tcW w:w="1702" w:type="dxa"/>
            <w:tcBorders/>
          </w:tcPr>
          <w:p>
            <w:pPr>
              <w:pStyle w:val="Normal"/>
              <w:widowControl w:val="false"/>
              <w:spacing w:before="0" w:after="0"/>
              <w:jc w:val="center"/>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X</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Aktiviert die Unterstützung von Anmeldung in Vertretung am MS-Proxy-Service für diesen eIDAS-Connector</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sz w:val="18"/>
                <w:szCs w:val="18"/>
                <w:shd w:fill="FFFFFF" w:val="clear"/>
                <w:lang w:eastAsia="en-US"/>
              </w:rPr>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Bsp:</w:t>
            </w:r>
            <w:r>
              <w:rPr>
                <w:rFonts w:eastAsia="Calibri" w:cs="Calibri" w:ascii="Calibri" w:hAnsi="Calibri"/>
                <w:color w:val="000000"/>
                <w:kern w:val="0"/>
                <w:sz w:val="18"/>
                <w:szCs w:val="18"/>
                <w:shd w:fill="FFFFFF" w:val="clear"/>
                <w:lang w:eastAsia="en-US" w:bidi="ar-SA"/>
              </w:rPr>
              <w:t xml:space="preserve"> true/false</w:t>
            </w:r>
          </w:p>
        </w:tc>
      </w:tr>
      <w:tr>
        <w:trPr/>
        <w:tc>
          <w:tcPr>
            <w:tcW w:w="3471"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eidas.ms.connector.x.mandates.natural</w:t>
            </w:r>
          </w:p>
        </w:tc>
        <w:tc>
          <w:tcPr>
            <w:tcW w:w="1702" w:type="dxa"/>
            <w:tcBorders/>
          </w:tcPr>
          <w:p>
            <w:pPr>
              <w:pStyle w:val="Normal"/>
              <w:widowControl w:val="false"/>
              <w:spacing w:before="0" w:after="0"/>
              <w:jc w:val="center"/>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X</w:t>
            </w:r>
          </w:p>
          <w:p>
            <w:pPr>
              <w:pStyle w:val="Normal"/>
              <w:widowControl w:val="false"/>
              <w:spacing w:before="0" w:after="0"/>
              <w:jc w:val="center"/>
              <w:rPr>
                <w:rFonts w:ascii="Calibri" w:hAnsi="Calibri" w:eastAsia="Calibri" w:cs="Calibri"/>
                <w:color w:val="000000"/>
                <w:kern w:val="0"/>
                <w:sz w:val="16"/>
                <w:szCs w:val="16"/>
                <w:shd w:fill="FFFFFF" w:val="clear"/>
                <w:lang w:val="de-DE" w:eastAsia="en-US" w:bidi="ar-SA"/>
              </w:rPr>
            </w:pPr>
            <w:r>
              <w:rPr>
                <w:rFonts w:eastAsia="Calibri" w:cs="Calibri" w:ascii="Calibri" w:hAnsi="Calibri"/>
                <w:color w:val="000000"/>
                <w:kern w:val="0"/>
                <w:sz w:val="16"/>
                <w:szCs w:val="16"/>
                <w:shd w:fill="FFFFFF" w:val="clear"/>
                <w:lang w:val="de-DE" w:eastAsia="en-US" w:bidi="ar-SA"/>
              </w:rPr>
              <w:t>(falls Vertretungen aktiv)</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Liste von komma-separierten Vollmachtenprofilen welche für die Anmeldung in Vertretung für eine natürliche Person für diesen eIDAS-Connector erlaubt sind. Eine Liste aller Profile findet sich unter:</w:t>
            </w:r>
          </w:p>
          <w:p>
            <w:pPr>
              <w:pStyle w:val="Normal"/>
              <w:widowControl w:val="false"/>
              <w:spacing w:before="0" w:after="0"/>
              <w:jc w:val="left"/>
              <w:rPr>
                <w:rFonts w:ascii="Calibri" w:hAnsi="Calibri" w:eastAsia="Calibri" w:cs="Calibri"/>
                <w:color w:val="000000"/>
                <w:sz w:val="18"/>
                <w:szCs w:val="18"/>
                <w:shd w:fill="FFFFFF" w:val="clear"/>
                <w:lang w:eastAsia="en-US"/>
              </w:rPr>
            </w:pPr>
            <w:hyperlink r:id="rId5">
              <w:r>
                <w:rPr>
                  <w:rStyle w:val="Internetverknpfung"/>
                  <w:rFonts w:eastAsia="Calibri" w:cs="Calibri" w:ascii="Calibri" w:hAnsi="Calibri"/>
                  <w:color w:val="000000"/>
                  <w:kern w:val="0"/>
                  <w:sz w:val="18"/>
                  <w:szCs w:val="18"/>
                  <w:shd w:fill="FFFFFF" w:val="clear"/>
                  <w:lang w:eastAsia="en-US" w:bidi="ar-SA"/>
                </w:rPr>
                <w:t>https://eid.oesterreich.gv.at/authHandler/public/mis/info</w:t>
              </w:r>
            </w:hyperlink>
          </w:p>
        </w:tc>
      </w:tr>
      <w:tr>
        <w:trPr/>
        <w:tc>
          <w:tcPr>
            <w:tcW w:w="3471"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eidas.ms.connector.x.mandates.legal</w:t>
            </w:r>
          </w:p>
        </w:tc>
        <w:tc>
          <w:tcPr>
            <w:tcW w:w="1702" w:type="dxa"/>
            <w:tcBorders/>
          </w:tcPr>
          <w:p>
            <w:pPr>
              <w:pStyle w:val="Normal"/>
              <w:widowControl w:val="false"/>
              <w:spacing w:before="0" w:after="0"/>
              <w:jc w:val="center"/>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X</w:t>
            </w:r>
          </w:p>
          <w:p>
            <w:pPr>
              <w:pStyle w:val="Normal"/>
              <w:widowControl w:val="false"/>
              <w:spacing w:before="0" w:after="0"/>
              <w:jc w:val="center"/>
              <w:rPr>
                <w:rFonts w:ascii="Calibri" w:hAnsi="Calibri" w:eastAsia="Calibri" w:cs="Calibri"/>
                <w:color w:val="000000"/>
                <w:kern w:val="0"/>
                <w:sz w:val="16"/>
                <w:szCs w:val="16"/>
                <w:shd w:fill="FFFFFF" w:val="clear"/>
                <w:lang w:val="de-DE" w:eastAsia="en-US" w:bidi="ar-SA"/>
              </w:rPr>
            </w:pPr>
            <w:r>
              <w:rPr>
                <w:rFonts w:eastAsia="Calibri" w:cs="Calibri" w:ascii="Calibri" w:hAnsi="Calibri"/>
                <w:color w:val="000000"/>
                <w:kern w:val="0"/>
                <w:sz w:val="16"/>
                <w:szCs w:val="16"/>
                <w:shd w:fill="FFFFFF" w:val="clear"/>
                <w:lang w:val="de-DE" w:eastAsia="en-US" w:bidi="ar-SA"/>
              </w:rPr>
              <w:t>(falls Vertretungen aktiv)</w:t>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Liste von komma-separierten Vollmachtenprofilen welche für die Anmeldung in Vertretung für eine juristische Person für diesen eIDAS-Connectorerlaubt sind. Eine Liste aller Profile findet sich unter:</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https://eid.oesterreich.gv.at/authHandler/public/mis/info</w:t>
            </w:r>
          </w:p>
        </w:tc>
      </w:tr>
      <w:tr>
        <w:trPr/>
        <w:tc>
          <w:tcPr>
            <w:tcW w:w="3471" w:type="dxa"/>
            <w:tcBorders/>
          </w:tcPr>
          <w:p>
            <w:pPr>
              <w:pStyle w:val="Normal"/>
              <w:widowControl w:val="false"/>
              <w:spacing w:before="0" w:after="0"/>
              <w:jc w:val="left"/>
              <w:rPr>
                <w:rFonts w:ascii="Calibri" w:hAnsi="Calibri" w:eastAsia="Calibri" w:cs="Calibri"/>
                <w:color w:val="000000"/>
                <w:kern w:val="0"/>
                <w:sz w:val="18"/>
                <w:szCs w:val="18"/>
                <w:shd w:fill="FFFFFF" w:val="clear"/>
                <w:lang w:val="de-DE" w:eastAsia="en-US" w:bidi="ar-SA"/>
              </w:rPr>
            </w:pPr>
            <w:r>
              <w:rPr>
                <w:rFonts w:eastAsia="Calibri" w:cs="Calibri" w:ascii="Calibri" w:hAnsi="Calibri"/>
                <w:color w:val="000000"/>
                <w:kern w:val="0"/>
                <w:sz w:val="18"/>
                <w:szCs w:val="18"/>
                <w:shd w:fill="FFFFFF" w:val="clear"/>
                <w:lang w:val="de-DE" w:eastAsia="en-US" w:bidi="ar-SA"/>
              </w:rPr>
              <w:t>eidas.ms.connector.x.auth.idaustria.entityId</w:t>
            </w:r>
          </w:p>
        </w:tc>
        <w:tc>
          <w:tcPr>
            <w:tcW w:w="1702" w:type="dxa"/>
            <w:tcBorders/>
          </w:tcPr>
          <w:p>
            <w:pPr>
              <w:pStyle w:val="Normal"/>
              <w:widowControl w:val="false"/>
              <w:spacing w:before="0" w:after="0"/>
              <w:jc w:val="left"/>
              <w:rPr>
                <w:rFonts w:ascii="Calibri" w:hAnsi="Calibri" w:eastAsia="Calibri" w:cs="Calibri"/>
                <w:color w:val="000000"/>
                <w:sz w:val="18"/>
                <w:szCs w:val="18"/>
                <w:shd w:fill="FFFFFF" w:val="clear"/>
                <w:lang w:val="en-US" w:eastAsia="en-US"/>
              </w:rPr>
            </w:pPr>
            <w:r>
              <w:rPr>
                <w:rFonts w:eastAsia="Calibri" w:cs="Calibri" w:ascii="Calibri" w:hAnsi="Calibri"/>
                <w:color w:val="000000"/>
                <w:sz w:val="18"/>
                <w:szCs w:val="18"/>
                <w:shd w:fill="FFFFFF" w:val="clear"/>
                <w:lang w:val="en-US" w:eastAsia="en-US"/>
              </w:rPr>
            </w:r>
          </w:p>
        </w:tc>
        <w:tc>
          <w:tcPr>
            <w:tcW w:w="4121" w:type="dxa"/>
            <w:tcBorders/>
          </w:tcPr>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color w:val="000000"/>
                <w:kern w:val="0"/>
                <w:sz w:val="18"/>
                <w:szCs w:val="18"/>
                <w:shd w:fill="FFFFFF" w:val="clear"/>
                <w:lang w:eastAsia="en-US" w:bidi="ar-SA"/>
              </w:rPr>
              <w:t>SAML2 EntityID des ID Austria System auf welches für diesen eIDAS-Connector weitergeleitet werden soll.</w:t>
            </w:r>
          </w:p>
          <w:p>
            <w:pPr>
              <w:pStyle w:val="Normal"/>
              <w:widowControl w:val="false"/>
              <w:spacing w:before="0" w:after="0"/>
              <w:jc w:val="left"/>
              <w:rPr>
                <w:rFonts w:ascii="Calibri" w:hAnsi="Calibri" w:eastAsia="Calibri" w:cs="Calibri"/>
                <w:color w:val="000000"/>
                <w:sz w:val="18"/>
                <w:szCs w:val="18"/>
                <w:shd w:fill="FFFFFF" w:val="clear"/>
                <w:lang w:eastAsia="en-US"/>
              </w:rPr>
            </w:pPr>
            <w:r>
              <w:rPr>
                <w:rFonts w:eastAsia="Calibri" w:cs="Calibri" w:ascii="Calibri" w:hAnsi="Calibri"/>
                <w:b/>
                <w:bCs/>
                <w:color w:val="000000"/>
                <w:kern w:val="0"/>
                <w:sz w:val="18"/>
                <w:szCs w:val="18"/>
                <w:shd w:fill="FFFFFF" w:val="clear"/>
                <w:lang w:eastAsia="en-US" w:bidi="ar-SA"/>
              </w:rPr>
              <w:t>Hinweis:</w:t>
            </w:r>
            <w:r>
              <w:rPr>
                <w:rFonts w:eastAsia="Calibri" w:cs="Calibri" w:ascii="Calibri" w:hAnsi="Calibri"/>
                <w:color w:val="000000"/>
                <w:kern w:val="0"/>
                <w:sz w:val="18"/>
                <w:szCs w:val="18"/>
                <w:shd w:fill="FFFFFF" w:val="clear"/>
                <w:lang w:eastAsia="en-US" w:bidi="ar-SA"/>
              </w:rPr>
              <w:t xml:space="preserve"> Die EntityID stellt gleichzeitig auch die URL auf die SAML2 Metadaten des ID Austria Systems dar.</w:t>
            </w:r>
          </w:p>
        </w:tc>
      </w:tr>
    </w:tbl>
    <w:p>
      <w:pPr>
        <w:pStyle w:val="Normal"/>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r>
    </w:p>
    <w:p>
      <w:pPr>
        <w:pStyle w:val="Textkrper"/>
        <w:rPr>
          <w:rFonts w:ascii="Calibri" w:hAnsi="Calibri" w:cs="Calibri"/>
        </w:rPr>
      </w:pPr>
      <w:r>
        <w:rPr>
          <w:rFonts w:cs="Calibri" w:ascii="Calibri" w:hAnsi="Calibri"/>
        </w:rPr>
      </w:r>
    </w:p>
    <w:p>
      <w:pPr>
        <w:pStyle w:val="Berschrift1"/>
        <w:ind w:left="709" w:hanging="709"/>
        <w:rPr>
          <w:rFonts w:ascii="Calibri" w:hAnsi="Calibri" w:cs="Calibri"/>
        </w:rPr>
      </w:pPr>
      <w:bookmarkStart w:id="20" w:name="__RefHeading___Toc3408_3963215250"/>
      <w:bookmarkStart w:id="21" w:name="_Toc5"/>
      <w:bookmarkEnd w:id="20"/>
      <w:r>
        <w:rPr>
          <w:rFonts w:cs="Calibri" w:ascii="Calibri" w:hAnsi="Calibri"/>
        </w:rPr>
        <w:t>Änderungsübersicht</w:t>
      </w:r>
      <w:bookmarkEnd w:id="21"/>
    </w:p>
    <w:p>
      <w:pPr>
        <w:pStyle w:val="Textkrper"/>
        <w:rPr>
          <w:rFonts w:ascii="Calibri" w:hAnsi="Calibri" w:cs="Calibri"/>
        </w:rPr>
      </w:pPr>
      <w:r>
        <w:rPr>
          <w:rFonts w:cs="Calibri" w:ascii="Calibri" w:hAnsi="Calibri"/>
        </w:rPr>
      </w:r>
    </w:p>
    <w:tbl>
      <w:tblPr>
        <w:tblStyle w:val="1045"/>
        <w:tblW w:w="9273"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1414"/>
        <w:gridCol w:w="5588"/>
        <w:gridCol w:w="2271"/>
      </w:tblGrid>
      <w:tr>
        <w:trPr/>
        <w:tc>
          <w:tcPr>
            <w:tcW w:w="1414" w:type="dxa"/>
            <w:tcBorders>
              <w:bottom w:val="single" w:sz="12" w:space="0" w:color="656565"/>
            </w:tcBorders>
          </w:tcPr>
          <w:p>
            <w:pPr>
              <w:pStyle w:val="Text"/>
              <w:widowControl w:val="false"/>
              <w:spacing w:lineRule="auto" w:line="240" w:before="0" w:after="0"/>
              <w:jc w:val="center"/>
              <w:rPr>
                <w:rFonts w:ascii="Calibri" w:hAnsi="Calibri" w:eastAsia="Calibri" w:cs="Calibri"/>
                <w:b/>
                <w:b/>
              </w:rPr>
            </w:pPr>
            <w:r>
              <w:rPr>
                <w:rFonts w:eastAsia="Calibri" w:cs="Calibri" w:ascii="Calibri" w:hAnsi="Calibri"/>
                <w:b/>
                <w:color w:val="404040"/>
                <w:kern w:val="0"/>
                <w:lang w:bidi="ar-SA"/>
              </w:rPr>
              <w:t>Datum</w:t>
            </w:r>
          </w:p>
        </w:tc>
        <w:tc>
          <w:tcPr>
            <w:tcW w:w="5588" w:type="dxa"/>
            <w:tcBorders>
              <w:bottom w:val="single" w:sz="12" w:space="0" w:color="656565"/>
            </w:tcBorders>
          </w:tcPr>
          <w:p>
            <w:pPr>
              <w:pStyle w:val="Text"/>
              <w:widowControl w:val="false"/>
              <w:spacing w:lineRule="auto" w:line="240" w:before="0" w:after="0"/>
              <w:jc w:val="center"/>
              <w:rPr>
                <w:rFonts w:ascii="Calibri" w:hAnsi="Calibri" w:eastAsia="Calibri" w:cs="Calibri"/>
                <w:b/>
                <w:b/>
              </w:rPr>
            </w:pPr>
            <w:r>
              <w:rPr>
                <w:rFonts w:eastAsia="Calibri" w:cs="Calibri" w:ascii="Calibri" w:hAnsi="Calibri"/>
                <w:b/>
                <w:color w:val="404040"/>
                <w:kern w:val="0"/>
                <w:lang w:bidi="ar-SA"/>
              </w:rPr>
              <w:t>Beschreibung</w:t>
            </w:r>
          </w:p>
        </w:tc>
        <w:tc>
          <w:tcPr>
            <w:tcW w:w="2271" w:type="dxa"/>
            <w:tcBorders>
              <w:bottom w:val="single" w:sz="12" w:space="0" w:color="656565"/>
            </w:tcBorders>
          </w:tcPr>
          <w:p>
            <w:pPr>
              <w:pStyle w:val="Text"/>
              <w:widowControl w:val="false"/>
              <w:spacing w:lineRule="auto" w:line="240" w:before="0" w:after="0"/>
              <w:jc w:val="center"/>
              <w:rPr>
                <w:rFonts w:ascii="Calibri" w:hAnsi="Calibri" w:eastAsia="Calibri" w:cs="Calibri"/>
                <w:b/>
                <w:b/>
              </w:rPr>
            </w:pPr>
            <w:r>
              <w:rPr>
                <w:rFonts w:eastAsia="Calibri" w:cs="Calibri" w:ascii="Calibri" w:hAnsi="Calibri"/>
                <w:b/>
                <w:color w:val="404040"/>
                <w:kern w:val="0"/>
                <w:lang w:bidi="ar-SA"/>
              </w:rPr>
              <w:t>Autor</w:t>
            </w:r>
          </w:p>
        </w:tc>
      </w:tr>
      <w:tr>
        <w:trPr/>
        <w:tc>
          <w:tcPr>
            <w:tcW w:w="1414" w:type="dxa"/>
            <w:tcBorders>
              <w:bottom w:val="single" w:sz="12" w:space="0" w:color="656565"/>
            </w:tcBorders>
          </w:tcPr>
          <w:p>
            <w:pPr>
              <w:pStyle w:val="Text"/>
              <w:widowControl w:val="false"/>
              <w:spacing w:lineRule="auto" w:line="240" w:before="0" w:after="0"/>
              <w:jc w:val="left"/>
              <w:rPr>
                <w:rFonts w:ascii="Calibri" w:hAnsi="Calibri" w:eastAsia="Calibri" w:cs="Calibri"/>
              </w:rPr>
            </w:pPr>
            <w:r>
              <w:rPr>
                <w:rFonts w:eastAsia="Calibri" w:cs="Calibri" w:ascii="Calibri" w:hAnsi="Calibri"/>
                <w:color w:val="404040"/>
                <w:kern w:val="0"/>
                <w:sz w:val="19"/>
                <w:szCs w:val="19"/>
                <w:lang w:bidi="ar-SA"/>
              </w:rPr>
              <w:t>23.08.2022</w:t>
            </w:r>
          </w:p>
        </w:tc>
        <w:tc>
          <w:tcPr>
            <w:tcW w:w="5588" w:type="dxa"/>
            <w:tcBorders>
              <w:bottom w:val="single" w:sz="12" w:space="0" w:color="656565"/>
            </w:tcBorders>
          </w:tcPr>
          <w:p>
            <w:pPr>
              <w:pStyle w:val="Text"/>
              <w:widowControl w:val="false"/>
              <w:spacing w:lineRule="auto" w:line="240" w:before="0" w:after="0"/>
              <w:jc w:val="left"/>
              <w:rPr>
                <w:rFonts w:ascii="Calibri" w:hAnsi="Calibri" w:eastAsia="Calibri" w:cs="Calibri"/>
              </w:rPr>
            </w:pPr>
            <w:r>
              <w:rPr>
                <w:rFonts w:eastAsia="Calibri" w:cs="Calibri" w:ascii="Calibri" w:hAnsi="Calibri"/>
                <w:color w:val="404040"/>
                <w:kern w:val="0"/>
                <w:sz w:val="19"/>
                <w:szCs w:val="19"/>
                <w:lang w:bidi="ar-SA"/>
              </w:rPr>
              <w:t>Initialversion für MS-Proxy-Service 1.0.0</w:t>
            </w:r>
          </w:p>
        </w:tc>
        <w:tc>
          <w:tcPr>
            <w:tcW w:w="2271" w:type="dxa"/>
            <w:tcBorders>
              <w:bottom w:val="single" w:sz="12" w:space="0" w:color="656565"/>
            </w:tcBorders>
          </w:tcPr>
          <w:p>
            <w:pPr>
              <w:pStyle w:val="Text"/>
              <w:widowControl w:val="false"/>
              <w:spacing w:lineRule="auto" w:line="240" w:before="0" w:after="0"/>
              <w:jc w:val="left"/>
              <w:rPr>
                <w:rFonts w:ascii="Calibri" w:hAnsi="Calibri" w:eastAsia="Calibri" w:cs="Calibri"/>
              </w:rPr>
            </w:pPr>
            <w:r>
              <w:rPr>
                <w:rFonts w:eastAsia="Calibri" w:cs="Calibri" w:ascii="Calibri" w:hAnsi="Calibri"/>
                <w:color w:val="404040"/>
                <w:kern w:val="0"/>
                <w:sz w:val="19"/>
                <w:szCs w:val="19"/>
                <w:lang w:bidi="ar-SA"/>
              </w:rPr>
              <w:t>Thomas Lenz</w:t>
            </w:r>
          </w:p>
        </w:tc>
      </w:tr>
      <w:tr>
        <w:trPr/>
        <w:tc>
          <w:tcPr>
            <w:tcW w:w="1414" w:type="dxa"/>
            <w:tcBorders>
              <w:bottom w:val="single" w:sz="12" w:space="0" w:color="656565"/>
            </w:tcBorders>
          </w:tcPr>
          <w:p>
            <w:pPr>
              <w:pStyle w:val="Text"/>
              <w:widowControl w:val="false"/>
              <w:spacing w:lineRule="auto" w:line="240" w:before="0" w:after="0"/>
              <w:jc w:val="left"/>
              <w:rPr>
                <w:rFonts w:ascii="Calibri" w:hAnsi="Calibri" w:eastAsia="Calibri" w:cs="Calibri"/>
                <w:color w:val="404040"/>
                <w:kern w:val="0"/>
                <w:sz w:val="19"/>
                <w:szCs w:val="19"/>
                <w:lang w:val="de-DE" w:eastAsia="en-US" w:bidi="ar-SA"/>
              </w:rPr>
            </w:pPr>
            <w:r>
              <w:rPr>
                <w:rFonts w:eastAsia="Calibri" w:cs="Calibri" w:ascii="Calibri" w:hAnsi="Calibri"/>
                <w:color w:val="404040"/>
                <w:kern w:val="0"/>
                <w:sz w:val="19"/>
                <w:szCs w:val="19"/>
                <w:lang w:val="de-DE" w:eastAsia="en-US" w:bidi="ar-SA"/>
              </w:rPr>
              <w:t>30.11.2022</w:t>
            </w:r>
          </w:p>
        </w:tc>
        <w:tc>
          <w:tcPr>
            <w:tcW w:w="5588" w:type="dxa"/>
            <w:tcBorders>
              <w:bottom w:val="single" w:sz="12" w:space="0" w:color="656565"/>
            </w:tcBorders>
          </w:tcPr>
          <w:p>
            <w:pPr>
              <w:pStyle w:val="Text"/>
              <w:widowControl w:val="false"/>
              <w:spacing w:lineRule="auto" w:line="240" w:before="0" w:after="0"/>
              <w:jc w:val="left"/>
              <w:rPr>
                <w:rFonts w:ascii="Calibri" w:hAnsi="Calibri" w:eastAsia="Calibri" w:cs="Calibri"/>
                <w:color w:val="404040"/>
                <w:kern w:val="0"/>
                <w:sz w:val="19"/>
                <w:szCs w:val="19"/>
                <w:lang w:val="de-DE" w:eastAsia="en-US" w:bidi="ar-SA"/>
              </w:rPr>
            </w:pPr>
            <w:r>
              <w:rPr>
                <w:rFonts w:eastAsia="Calibri" w:cs="Calibri" w:ascii="Calibri" w:hAnsi="Calibri"/>
                <w:color w:val="404040"/>
                <w:kern w:val="0"/>
                <w:sz w:val="19"/>
                <w:szCs w:val="19"/>
                <w:lang w:val="de-DE" w:eastAsia="en-US" w:bidi="ar-SA"/>
              </w:rPr>
              <w:t>Anpassungen für v1.0.1</w:t>
            </w:r>
          </w:p>
        </w:tc>
        <w:tc>
          <w:tcPr>
            <w:tcW w:w="2271" w:type="dxa"/>
            <w:tcBorders>
              <w:bottom w:val="single" w:sz="12" w:space="0" w:color="656565"/>
            </w:tcBorders>
          </w:tcPr>
          <w:p>
            <w:pPr>
              <w:pStyle w:val="Text"/>
              <w:widowControl w:val="false"/>
              <w:spacing w:lineRule="auto" w:line="240" w:before="0" w:after="0"/>
              <w:jc w:val="left"/>
              <w:rPr>
                <w:rFonts w:ascii="Calibri" w:hAnsi="Calibri" w:eastAsia="Calibri" w:cs="Calibri"/>
                <w:color w:val="404040"/>
                <w:kern w:val="0"/>
                <w:sz w:val="19"/>
                <w:szCs w:val="19"/>
                <w:lang w:val="de-DE" w:eastAsia="en-US" w:bidi="ar-SA"/>
              </w:rPr>
            </w:pPr>
            <w:r>
              <w:rPr>
                <w:rFonts w:eastAsia="Calibri" w:cs="Calibri" w:ascii="Calibri" w:hAnsi="Calibri"/>
                <w:color w:val="404040"/>
                <w:kern w:val="0"/>
                <w:sz w:val="19"/>
                <w:szCs w:val="19"/>
                <w:lang w:val="de-DE" w:eastAsia="en-US" w:bidi="ar-SA"/>
              </w:rPr>
              <w:t>Thomas Lenz</w:t>
            </w:r>
          </w:p>
        </w:tc>
      </w:tr>
    </w:tbl>
    <w:p>
      <w:pPr>
        <w:pStyle w:val="Normal"/>
        <w:rPr>
          <w:rFonts w:ascii="Calibri" w:hAnsi="Calibri" w:cs="Calibri"/>
        </w:rPr>
      </w:pPr>
      <w:r>
        <w:rPr/>
      </w:r>
    </w:p>
    <w:sectPr>
      <w:headerReference w:type="first" r:id="rId6"/>
      <w:footerReference w:type="default" r:id="rId7"/>
      <w:footerReference w:type="first" r:id="rId8"/>
      <w:type w:val="nextPage"/>
      <w:pgSz w:w="11906" w:h="16838"/>
      <w:pgMar w:left="1134" w:right="1134" w:gutter="0" w:header="720" w:top="720" w:footer="720" w:bottom="1134"/>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roman"/>
    <w:pitch w:val="variable"/>
  </w:font>
  <w:font w:name="Trebuchet MS">
    <w:charset w:val="01"/>
    <w:family w:val="roman"/>
    <w:pitch w:val="variable"/>
  </w:font>
  <w:font w:name="Tahoma">
    <w:charset w:val="01"/>
    <w:family w:val="roman"/>
    <w:pitch w:val="variable"/>
  </w:font>
  <w:font w:name="Courier New">
    <w:charset w:val="01"/>
    <w:family w:val="roman"/>
    <w:pitch w:val="variable"/>
  </w:font>
  <w:font w:name="OpenSymbol">
    <w:altName w:val="Arial Unicode MS"/>
    <w:charset w:val="01"/>
    <w:family w:val="roman"/>
    <w:pitch w:val="variable"/>
  </w:font>
  <w:font w:name="Liberation Mono">
    <w:altName w:val="Courier New"/>
    <w:charset w:val="01"/>
    <w:family w:val="roman"/>
    <w:pitch w:val="variable"/>
  </w:font>
  <w:font w:name="Calibri">
    <w:charset w:val="01"/>
    <w:family w:val="roman"/>
    <w:pitch w:val="variable"/>
  </w:font>
  <w:font w:name="benguiat bk bt">
    <w:charset w:val="01"/>
    <w:family w:val="roman"/>
    <w:pitch w:val="variable"/>
  </w:font>
  <w:font w:name="Symbol">
    <w:charset w:val="02"/>
    <w:family w:val="auto"/>
    <w:pitch w:val="default"/>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tabs>
        <w:tab w:val="clear" w:pos="9072"/>
        <w:tab w:val="center" w:pos="4536" w:leader="none"/>
        <w:tab w:val="right" w:pos="9498" w:leader="none"/>
      </w:tabs>
      <w:rPr/>
    </w:pPr>
    <w:r>
      <w:rPr/>
      <w:fldChar w:fldCharType="begin"/>
    </w:r>
    <w:r>
      <w:rPr/>
      <w:instrText xml:space="preserve"> FILENAME </w:instrText>
    </w:r>
    <w:r>
      <w:rPr/>
      <w:fldChar w:fldCharType="separate"/>
    </w:r>
    <w:r>
      <w:rPr/>
      <w:t>Handbuch_MS-eIDAS-Proxy-Service.docx</w:t>
    </w:r>
    <w:r>
      <w:rPr/>
      <w:fldChar w:fldCharType="end"/>
    </w:r>
    <w:r>
      <w:rPr/>
      <w:tab/>
      <w:tab/>
      <w:t xml:space="preserve">Seite: </w:t>
    </w: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r>
      <w:rPr>
        <w:rStyle w:val="Pagenumber"/>
      </w:rPr>
      <w:t xml:space="preserve"> von </w:t>
    </w:r>
    <w:r>
      <w:rPr>
        <w:rStyle w:val="Pagenumber"/>
      </w:rPr>
      <w:fldChar w:fldCharType="begin"/>
    </w:r>
    <w:r>
      <w:rPr>
        <w:rStyle w:val="Pagenumber"/>
      </w:rPr>
      <w:instrText xml:space="preserve"> NUMPAGES </w:instrText>
    </w:r>
    <w:r>
      <w:rPr>
        <w:rStyle w:val="Pagenumber"/>
      </w:rPr>
      <w:fldChar w:fldCharType="separate"/>
    </w:r>
    <w:r>
      <w:rPr>
        <w:rStyle w:val="Pagenumber"/>
      </w:rPr>
      <w:t>8</w:t>
    </w:r>
    <w:r>
      <w:rPr>
        <w:rStyle w:val="Pagenumber"/>
      </w:rPr>
      <w:fldChar w:fldCharType="end"/>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uzeile"/>
      <w:widowControl w:val="false"/>
      <w:tabs>
        <w:tab w:val="clear" w:pos="4536"/>
        <w:tab w:val="clear" w:pos="9072"/>
        <w:tab w:val="center" w:pos="4820" w:leader="none"/>
        <w:tab w:val="right" w:pos="9639" w:leader="none"/>
      </w:tabs>
      <w:jc w:val="center"/>
      <w:rPr>
        <w:rFonts w:cs="Arial"/>
      </w:rPr>
    </w:pPr>
    <w:r>
      <w:rPr>
        <w:rFonts w:cs="Arial"/>
      </w:rPr>
    </w:r>
  </w:p>
  <w:p>
    <w:pPr>
      <w:pStyle w:val="Fuzeile"/>
      <w:jc w:val="center"/>
      <w:rPr/>
    </w:pPr>
    <w:r>
      <w:rPr/>
      <w:t>© A-SIT, Partner für Sicherheitsfragen</w:t>
    </w:r>
  </w:p>
  <w:p>
    <w:pPr>
      <w:pStyle w:val="Fuzeile"/>
      <w:jc w:val="cen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9639" w:type="dxa"/>
      <w:jc w:val="left"/>
      <w:tblInd w:w="70" w:type="dxa"/>
      <w:tblLayout w:type="fixed"/>
      <w:tblCellMar>
        <w:top w:w="0" w:type="dxa"/>
        <w:left w:w="70" w:type="dxa"/>
        <w:bottom w:w="0" w:type="dxa"/>
        <w:right w:w="70" w:type="dxa"/>
      </w:tblCellMar>
      <w:tblLook w:val="0000" w:noHBand="0" w:noVBand="0" w:firstColumn="0" w:lastRow="0" w:lastColumn="0" w:firstRow="0"/>
    </w:tblPr>
    <w:tblGrid>
      <w:gridCol w:w="2409"/>
      <w:gridCol w:w="162"/>
      <w:gridCol w:w="3522"/>
      <w:gridCol w:w="3545"/>
    </w:tblGrid>
    <w:tr>
      <w:trPr>
        <w:trHeight w:val="575" w:hRule="exact"/>
        <w:cantSplit w:val="true"/>
      </w:trPr>
      <w:tc>
        <w:tcPr>
          <w:tcW w:w="2409" w:type="dxa"/>
          <w:vMerge w:val="restart"/>
          <w:tcBorders/>
          <w:vAlign w:val="center"/>
        </w:tcPr>
        <w:p>
          <w:pPr>
            <w:pStyle w:val="Kopfzeile"/>
            <w:widowControl w:val="false"/>
            <w:rPr/>
          </w:pPr>
          <w:r>
            <w:rPr/>
            <w:object>
              <v:shapetype id="_x0000_tole_rId1" coordsize="21600,21600" o:spt="ole_rId1"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le_rId1" type="_x0000_tole_rId1" style="width:118.5pt;height:36pt;mso-wrap-distance-right:0pt" filled="f" o:ole="">
                <v:imagedata r:id="rId2" o:title=""/>
              </v:shape>
              <o:OLEObject Type="Embed" ProgID="CorelDraw.Graphic.16" ShapeID="ole_rId1" DrawAspect="Content" ObjectID="_1604578948" r:id="rId1"/>
            </w:object>
          </w:r>
        </w:p>
      </w:tc>
      <w:tc>
        <w:tcPr>
          <w:tcW w:w="162" w:type="dxa"/>
          <w:tcBorders/>
        </w:tcPr>
        <w:p>
          <w:pPr>
            <w:pStyle w:val="Kopfzeile"/>
            <w:widowControl w:val="false"/>
            <w:rPr/>
          </w:pPr>
          <w:r>
            <w:rPr/>
          </w:r>
        </w:p>
      </w:tc>
      <w:tc>
        <w:tcPr>
          <w:tcW w:w="7067" w:type="dxa"/>
          <w:gridSpan w:val="2"/>
          <w:tcBorders/>
        </w:tcPr>
        <w:p>
          <w:pPr>
            <w:pStyle w:val="Kopfzeile"/>
            <w:widowControl w:val="false"/>
            <w:jc w:val="center"/>
            <w:rPr>
              <w:rFonts w:cs="Arial"/>
              <w:b/>
              <w:b/>
              <w:bCs/>
            </w:rPr>
          </w:pPr>
          <w:r>
            <w:rPr>
              <w:rFonts w:cs="Arial"/>
              <w:b/>
              <w:bCs/>
            </w:rPr>
            <w:t>Zentrum für sichere Informationstechnologie – Austria</w:t>
          </w:r>
        </w:p>
        <w:p>
          <w:pPr>
            <w:pStyle w:val="Kopfzeile"/>
            <w:widowControl w:val="false"/>
            <w:jc w:val="center"/>
            <w:rPr>
              <w:rFonts w:cs="Arial"/>
            </w:rPr>
          </w:pPr>
          <w:r>
            <w:rPr>
              <w:rFonts w:cs="Arial"/>
              <w:b/>
              <w:bCs/>
            </w:rPr>
            <w:t>Secure Information Technology Center – Austria</w:t>
          </w:r>
        </w:p>
      </w:tc>
    </w:tr>
    <w:tr>
      <w:trPr>
        <w:trHeight w:val="705" w:hRule="exact"/>
        <w:cantSplit w:val="true"/>
      </w:trPr>
      <w:tc>
        <w:tcPr>
          <w:tcW w:w="2409" w:type="dxa"/>
          <w:vMerge w:val="continue"/>
          <w:tcBorders/>
          <w:vAlign w:val="center"/>
        </w:tcPr>
        <w:p>
          <w:pPr>
            <w:pStyle w:val="Normal"/>
            <w:widowControl w:val="false"/>
            <w:rPr/>
          </w:pPr>
          <w:r>
            <w:rPr/>
          </w:r>
        </w:p>
      </w:tc>
      <w:tc>
        <w:tcPr>
          <w:tcW w:w="162" w:type="dxa"/>
          <w:tcBorders/>
        </w:tcPr>
        <w:p>
          <w:pPr>
            <w:pStyle w:val="Kopfzeile"/>
            <w:widowControl w:val="false"/>
            <w:rPr/>
          </w:pPr>
          <w:r>
            <w:rPr/>
          </w:r>
        </w:p>
      </w:tc>
      <w:tc>
        <w:tcPr>
          <w:tcW w:w="3522" w:type="dxa"/>
          <w:tcBorders/>
          <w:vAlign w:val="bottom"/>
        </w:tcPr>
        <w:p>
          <w:pPr>
            <w:pStyle w:val="Kopfzeile"/>
            <w:widowControl w:val="false"/>
            <w:rPr>
              <w:rFonts w:cs="Arial"/>
              <w:sz w:val="18"/>
            </w:rPr>
          </w:pPr>
          <w:r>
            <w:rPr>
              <w:rFonts w:cs="Arial"/>
              <w:sz w:val="18"/>
            </w:rPr>
            <w:t>Seidlgasse 22 / 9, 1030 Wien</w:t>
          </w:r>
        </w:p>
        <w:p>
          <w:pPr>
            <w:pStyle w:val="Kopfzeile"/>
            <w:widowControl w:val="false"/>
            <w:rPr>
              <w:rFonts w:cs="Arial"/>
              <w:sz w:val="18"/>
            </w:rPr>
          </w:pPr>
          <w:r>
            <w:rPr>
              <w:rFonts w:cs="Arial"/>
              <w:sz w:val="18"/>
            </w:rPr>
            <w:t>Tel.: (+43 1) 503 19 63–0</w:t>
          </w:r>
        </w:p>
        <w:p>
          <w:pPr>
            <w:pStyle w:val="Kopfzeile"/>
            <w:widowControl w:val="false"/>
            <w:rPr>
              <w:rFonts w:cs="Arial"/>
              <w:sz w:val="18"/>
            </w:rPr>
          </w:pPr>
          <w:r>
            <w:rPr>
              <w:rFonts w:cs="Arial"/>
              <w:sz w:val="18"/>
            </w:rPr>
            <w:t>Fax: (+43 1) 503 19 63–66</w:t>
          </w:r>
        </w:p>
      </w:tc>
      <w:tc>
        <w:tcPr>
          <w:tcW w:w="3545" w:type="dxa"/>
          <w:tcBorders/>
          <w:vAlign w:val="bottom"/>
        </w:tcPr>
        <w:p>
          <w:pPr>
            <w:pStyle w:val="Kopfzeile"/>
            <w:widowControl w:val="false"/>
            <w:jc w:val="right"/>
            <w:rPr>
              <w:rFonts w:cs="Arial"/>
              <w:sz w:val="18"/>
              <w:lang w:val="en-GB"/>
            </w:rPr>
          </w:pPr>
          <w:r>
            <w:rPr>
              <w:rFonts w:cs="Arial"/>
              <w:sz w:val="18"/>
              <w:lang w:val="en-GB"/>
            </w:rPr>
            <w:t>Inffeldgasse 16a, 8010 Graz</w:t>
          </w:r>
        </w:p>
        <w:p>
          <w:pPr>
            <w:pStyle w:val="Kopfzeile"/>
            <w:widowControl w:val="false"/>
            <w:jc w:val="right"/>
            <w:rPr>
              <w:rFonts w:cs="Arial"/>
              <w:sz w:val="18"/>
              <w:lang w:val="en-GB"/>
            </w:rPr>
          </w:pPr>
          <w:r>
            <w:rPr>
              <w:rFonts w:cs="Arial"/>
              <w:sz w:val="18"/>
              <w:lang w:val="en-GB"/>
            </w:rPr>
            <w:t>Tel.: (+43 316) 873-5514</w:t>
          </w:r>
        </w:p>
        <w:p>
          <w:pPr>
            <w:pStyle w:val="Kopfzeile"/>
            <w:widowControl w:val="false"/>
            <w:jc w:val="right"/>
            <w:rPr>
              <w:rFonts w:cs="Arial"/>
              <w:sz w:val="18"/>
              <w:lang w:val="en-GB"/>
            </w:rPr>
          </w:pPr>
          <w:r>
            <w:rPr>
              <w:rFonts w:cs="Arial"/>
              <w:sz w:val="18"/>
              <w:lang w:val="en-GB"/>
            </w:rPr>
            <w:t>Fax: (+43 316) 873-5520</w:t>
          </w:r>
        </w:p>
      </w:tc>
    </w:tr>
    <w:tr>
      <w:trPr>
        <w:cantSplit w:val="true"/>
      </w:trPr>
      <w:tc>
        <w:tcPr>
          <w:tcW w:w="2409" w:type="dxa"/>
          <w:vMerge w:val="continue"/>
          <w:tcBorders/>
          <w:vAlign w:val="center"/>
        </w:tcPr>
        <w:p>
          <w:pPr>
            <w:pStyle w:val="Normal"/>
            <w:widowControl w:val="false"/>
            <w:rPr>
              <w:lang w:val="en-GB"/>
            </w:rPr>
          </w:pPr>
          <w:r>
            <w:rPr>
              <w:lang w:val="en-GB"/>
            </w:rPr>
          </w:r>
        </w:p>
      </w:tc>
      <w:tc>
        <w:tcPr>
          <w:tcW w:w="162" w:type="dxa"/>
          <w:tcBorders/>
        </w:tcPr>
        <w:p>
          <w:pPr>
            <w:pStyle w:val="Kopfzeile"/>
            <w:widowControl w:val="false"/>
            <w:rPr>
              <w:lang w:val="en-GB"/>
            </w:rPr>
          </w:pPr>
          <w:r>
            <w:rPr>
              <w:lang w:val="en-GB"/>
            </w:rPr>
          </w:r>
        </w:p>
      </w:tc>
      <w:tc>
        <w:tcPr>
          <w:tcW w:w="7067" w:type="dxa"/>
          <w:gridSpan w:val="2"/>
          <w:tcBorders/>
          <w:vAlign w:val="bottom"/>
        </w:tcPr>
        <w:p>
          <w:pPr>
            <w:pStyle w:val="Normal"/>
            <w:widowControl w:val="false"/>
            <w:jc w:val="center"/>
            <w:rPr>
              <w:rFonts w:cs="Arial"/>
              <w:sz w:val="16"/>
              <w:lang w:val="en-GB"/>
            </w:rPr>
          </w:pPr>
          <w:r>
            <w:rPr>
              <w:rFonts w:cs="Arial"/>
              <w:sz w:val="16"/>
              <w:lang w:val="en-GB"/>
            </w:rPr>
            <w:t>http://</w:t>
          </w:r>
          <w:hyperlink r:id="rId3" w:tgtFrame="http://www.a-sit.at/">
            <w:r>
              <w:rPr>
                <w:rStyle w:val="Internetverknpfung"/>
                <w:rFonts w:cs="Arial"/>
                <w:color w:val="auto"/>
                <w:sz w:val="16"/>
                <w:lang w:val="en-GB"/>
              </w:rPr>
              <w:t>www.a-sit.at</w:t>
            </w:r>
          </w:hyperlink>
        </w:p>
        <w:p>
          <w:pPr>
            <w:pStyle w:val="Kopfzeile"/>
            <w:widowControl w:val="false"/>
            <w:tabs>
              <w:tab w:val="clear" w:pos="4536"/>
              <w:tab w:val="center" w:pos="4448" w:leader="none"/>
              <w:tab w:val="right" w:pos="9072" w:leader="none"/>
            </w:tabs>
            <w:jc w:val="center"/>
            <w:rPr>
              <w:rFonts w:cs="Arial"/>
              <w:sz w:val="16"/>
              <w:lang w:val="it-IT"/>
            </w:rPr>
          </w:pPr>
          <w:r>
            <w:rPr>
              <w:rFonts w:cs="Arial"/>
              <w:sz w:val="16"/>
              <w:lang w:val="it-IT"/>
            </w:rPr>
            <w:t>E-Mail: office@a-sit.at</w:t>
          </w:r>
        </w:p>
        <w:p>
          <w:pPr>
            <w:pStyle w:val="Kopfzeile"/>
            <w:widowControl w:val="false"/>
            <w:tabs>
              <w:tab w:val="clear" w:pos="4536"/>
              <w:tab w:val="center" w:pos="3456" w:leader="none"/>
              <w:tab w:val="right" w:pos="7077" w:leader="none"/>
              <w:tab w:val="right" w:pos="9072" w:leader="none"/>
            </w:tabs>
            <w:rPr>
              <w:rFonts w:cs="Arial"/>
              <w:sz w:val="16"/>
              <w:lang w:val="it-IT"/>
            </w:rPr>
          </w:pPr>
          <w:r>
            <w:rPr>
              <w:rFonts w:cs="Arial"/>
              <w:sz w:val="16"/>
              <w:lang w:val="it-IT"/>
            </w:rPr>
            <w:t>DVR: 1035461</w:t>
            <w:tab/>
            <w:t>ZVR: 948166612</w:t>
            <w:tab/>
            <w:t>UID: ATU60778947</w:t>
          </w:r>
        </w:p>
        <w:p>
          <w:pPr>
            <w:pStyle w:val="Kopfzeile"/>
            <w:widowControl w:val="false"/>
            <w:tabs>
              <w:tab w:val="clear" w:pos="4536"/>
              <w:tab w:val="center" w:pos="3597" w:leader="none"/>
              <w:tab w:val="right" w:pos="7077" w:leader="none"/>
              <w:tab w:val="right" w:pos="9072" w:leader="none"/>
            </w:tabs>
            <w:rPr>
              <w:rFonts w:ascii="benguiat bk bt" w:hAnsi="benguiat bk bt"/>
              <w:color w:val="003399"/>
              <w:sz w:val="8"/>
              <w:lang w:val="it-IT"/>
            </w:rPr>
          </w:pPr>
          <w:r>
            <w:rPr>
              <w:rFonts w:ascii="benguiat bk bt" w:hAnsi="benguiat bk bt"/>
              <w:color w:val="003399"/>
              <w:sz w:val="8"/>
              <w:lang w:val="it-IT"/>
            </w:rPr>
          </w:r>
        </w:p>
      </w:tc>
    </w:tr>
  </w:tbl>
  <w:p>
    <w:pPr>
      <w:pStyle w:val="Kopfzeile"/>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Berschrift1"/>
      <w:numFmt w:val="decimal"/>
      <w:lvlText w:val="%1."/>
      <w:lvlJc w:val="left"/>
      <w:pPr>
        <w:tabs>
          <w:tab w:val="num" w:pos="0"/>
        </w:tabs>
        <w:ind w:left="360" w:hanging="360"/>
      </w:pPr>
      <w:rPr/>
    </w:lvl>
    <w:lvl w:ilvl="1">
      <w:start w:val="1"/>
      <w:pStyle w:val="Berschrift2"/>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pStyle w:val="Berschrift3"/>
      <w:numFmt w:val="decimal"/>
      <w:lvlText w:val="%1.%2.%4."/>
      <w:lvlJc w:val="left"/>
      <w:pPr>
        <w:tabs>
          <w:tab w:val="num" w:pos="720"/>
        </w:tabs>
        <w:ind w:left="0" w:hanging="0"/>
      </w:pPr>
      <w:rPr>
        <w:rFonts w:ascii="Calibri" w:hAnsi="Calibri"/>
      </w:rPr>
    </w:lvl>
    <w:lvl w:ilvl="4">
      <w:start w:val="1"/>
      <w:pStyle w:val="Berschrift5"/>
      <w:numFmt w:val="none"/>
      <w:suff w:val="nothing"/>
      <w:lvlText w:val=""/>
      <w:lvlJc w:val="left"/>
      <w:pPr>
        <w:tabs>
          <w:tab w:val="num" w:pos="0"/>
        </w:tabs>
        <w:ind w:left="0" w:hanging="0"/>
      </w:pPr>
      <w:rPr/>
    </w:lvl>
    <w:lvl w:ilvl="5">
      <w:start w:val="1"/>
      <w:pStyle w:val="Berschrift6"/>
      <w:numFmt w:val="none"/>
      <w:suff w:val="nothing"/>
      <w:lvlText w:val=""/>
      <w:lvlJc w:val="left"/>
      <w:pPr>
        <w:tabs>
          <w:tab w:val="num" w:pos="0"/>
        </w:tabs>
        <w:ind w:left="0" w:hanging="0"/>
      </w:pPr>
      <w:rPr/>
    </w:lvl>
    <w:lvl w:ilvl="6">
      <w:start w:val="1"/>
      <w:pStyle w:val="Berschrift7"/>
      <w:numFmt w:val="none"/>
      <w:suff w:val="nothing"/>
      <w:lvlText w:val=""/>
      <w:lvlJc w:val="left"/>
      <w:pPr>
        <w:tabs>
          <w:tab w:val="num" w:pos="0"/>
        </w:tabs>
        <w:ind w:left="0" w:hanging="0"/>
      </w:pPr>
      <w:rPr/>
    </w:lvl>
    <w:lvl w:ilvl="7">
      <w:start w:val="1"/>
      <w:pStyle w:val="Berschrift8"/>
      <w:numFmt w:val="none"/>
      <w:suff w:val="nothing"/>
      <w:lvlText w:val=""/>
      <w:lvlJc w:val="left"/>
      <w:pPr>
        <w:tabs>
          <w:tab w:val="num" w:pos="0"/>
        </w:tabs>
        <w:ind w:left="0" w:hanging="0"/>
      </w:pPr>
      <w:rPr/>
    </w:lvl>
    <w:lvl w:ilvl="8">
      <w:start w:val="1"/>
      <w:pStyle w:val="Berschrift9"/>
      <w:numFmt w:val="none"/>
      <w:suff w:val="nothing"/>
      <w:lvlText w:val=""/>
      <w:lvlJc w:val="left"/>
      <w:pPr>
        <w:tabs>
          <w:tab w:val="num" w:pos="0"/>
        </w:tabs>
        <w:ind w:left="0" w:hanging="0"/>
      </w:pPr>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9">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0">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1">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2">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3">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4">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5">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6">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7">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8">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19">
    <w:lvl w:ilvl="0">
      <w:start w:val="1"/>
      <w:numFmt w:val="decimal"/>
      <w:lvlText w:val="%1."/>
      <w:lvlJc w:val="left"/>
      <w:pPr>
        <w:tabs>
          <w:tab w:val="num" w:pos="0"/>
        </w:tabs>
        <w:ind w:left="360" w:hanging="360"/>
      </w:pPr>
      <w:rPr/>
    </w:lvl>
    <w:lvl w:ilvl="1">
      <w:start w:val="1"/>
      <w:numFmt w:val="decimal"/>
      <w:lvlText w:val="%1.%2."/>
      <w:lvlJc w:val="left"/>
      <w:pPr>
        <w:tabs>
          <w:tab w:val="num" w:pos="792"/>
        </w:tabs>
        <w:ind w:left="0" w:hanging="0"/>
      </w:pPr>
      <w:rPr>
        <w:sz w:val="28"/>
        <w:b/>
      </w:rPr>
    </w:lvl>
    <w:lvl w:ilvl="2">
      <w:start w:val="1"/>
      <w:numFmt w:val="none"/>
      <w:suff w:val="nothing"/>
      <w:lvlText w:val=""/>
      <w:lvlJc w:val="left"/>
      <w:pPr>
        <w:tabs>
          <w:tab w:val="num" w:pos="0"/>
        </w:tabs>
        <w:ind w:left="0" w:hanging="0"/>
      </w:pPr>
      <w:rPr/>
    </w:lvl>
    <w:lvl w:ilvl="3">
      <w:start w:val="1"/>
      <w:numFmt w:val="decimal"/>
      <w:lvlText w:val="%1.%2.%4."/>
      <w:lvlJc w:val="left"/>
      <w:pPr>
        <w:tabs>
          <w:tab w:val="num" w:pos="720"/>
        </w:tabs>
        <w:ind w:left="0" w:hanging="0"/>
      </w:pPr>
      <w:rPr>
        <w:rFonts w:ascii="Calibri" w:hAnsi="Calibri"/>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1"/>
  </w:num>
  <w:num w:numId="21">
    <w:abstractNumId w:val="1"/>
  </w:num>
  <w:num w:numId="22">
    <w:abstractNumId w:val="1"/>
  </w:num>
  <w:num w:numId="23">
    <w:abstractNumId w:val="1"/>
  </w:num>
  <w:num w:numId="24">
    <w:abstractNumId w:val="1"/>
  </w:num>
  <w:num w:numId="25">
    <w:abstractNumId w:val="1"/>
  </w:num>
  <w:num w:numId="26">
    <w:abstractNumId w:val="1"/>
  </w:num>
  <w:num w:numId="27">
    <w:abstractNumId w:val="1"/>
  </w:num>
  <w:num w:numId="28">
    <w:abstractNumId w:val="1"/>
  </w:num>
  <w:num w:numId="29">
    <w:abstractNumId w:val="1"/>
  </w:num>
  <w:num w:numId="30">
    <w:abstractNumId w:val="1"/>
  </w:num>
  <w:num w:numId="31">
    <w:abstractNumId w:val="1"/>
  </w:num>
</w:numbering>
</file>

<file path=word/settings.xml><?xml version="1.0" encoding="utf-8"?>
<w:settings xmlns:w="http://schemas.openxmlformats.org/wordprocessingml/2006/main">
  <w:zoom w:percent="14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oto Serif CJK SC" w:cs="Lohit Devanagari"/>
        <w:lang w:val="de-AT" w:eastAsia="de-AT"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before="0" w:after="0"/>
      <w:jc w:val="left"/>
    </w:pPr>
    <w:rPr>
      <w:rFonts w:ascii="Arial" w:hAnsi="Arial" w:eastAsia="Noto Serif CJK SC" w:cs="Lohit Devanagari"/>
      <w:color w:val="auto"/>
      <w:kern w:val="0"/>
      <w:sz w:val="22"/>
      <w:szCs w:val="20"/>
      <w:lang w:val="de-DE" w:eastAsia="ar-SA" w:bidi="ar-SA"/>
    </w:rPr>
  </w:style>
  <w:style w:type="paragraph" w:styleId="Berschrift1">
    <w:name w:val="Heading 1"/>
    <w:basedOn w:val="Normal"/>
    <w:uiPriority w:val="9"/>
    <w:qFormat/>
    <w:pPr>
      <w:keepNext w:val="true"/>
      <w:numPr>
        <w:ilvl w:val="0"/>
        <w:numId w:val="1"/>
      </w:numPr>
      <w:tabs>
        <w:tab w:val="clear" w:pos="720"/>
        <w:tab w:val="left" w:pos="709" w:leader="none"/>
      </w:tabs>
      <w:ind w:left="709" w:hanging="709"/>
      <w:outlineLvl w:val="0"/>
    </w:pPr>
    <w:rPr>
      <w:rFonts w:cs="Arial"/>
      <w:b/>
      <w:bCs/>
      <w:sz w:val="28"/>
      <w:szCs w:val="32"/>
    </w:rPr>
  </w:style>
  <w:style w:type="paragraph" w:styleId="Berschrift2">
    <w:name w:val="Heading 2"/>
    <w:basedOn w:val="Normal"/>
    <w:qFormat/>
    <w:pPr>
      <w:keepNext w:val="true"/>
      <w:numPr>
        <w:ilvl w:val="1"/>
        <w:numId w:val="1"/>
      </w:numPr>
      <w:tabs>
        <w:tab w:val="clear" w:pos="720"/>
        <w:tab w:val="left" w:pos="709" w:leader="none"/>
      </w:tabs>
      <w:ind w:left="709" w:hanging="709"/>
      <w:outlineLvl w:val="1"/>
    </w:pPr>
    <w:rPr>
      <w:rFonts w:cs="Arial"/>
      <w:bCs/>
      <w:iCs/>
      <w:sz w:val="26"/>
      <w:szCs w:val="26"/>
    </w:rPr>
  </w:style>
  <w:style w:type="paragraph" w:styleId="Berschrift3">
    <w:name w:val="Heading 3"/>
    <w:basedOn w:val="Normal"/>
    <w:qFormat/>
    <w:pPr>
      <w:keepNext w:val="true"/>
      <w:numPr>
        <w:ilvl w:val="3"/>
        <w:numId w:val="1"/>
      </w:numPr>
      <w:tabs>
        <w:tab w:val="clear" w:pos="720"/>
        <w:tab w:val="left" w:pos="709" w:leader="none"/>
      </w:tabs>
      <w:ind w:left="709" w:hanging="709"/>
      <w:outlineLvl w:val="3"/>
    </w:pPr>
    <w:rPr>
      <w:bCs/>
      <w:i/>
      <w:sz w:val="24"/>
      <w:szCs w:val="24"/>
    </w:rPr>
  </w:style>
  <w:style w:type="paragraph" w:styleId="Berschrift4">
    <w:name w:val="Heading 4"/>
    <w:basedOn w:val="Normal"/>
    <w:qFormat/>
    <w:pPr>
      <w:keepNext w:val="true"/>
      <w:tabs>
        <w:tab w:val="clear" w:pos="720"/>
        <w:tab w:val="left" w:pos="709" w:leader="none"/>
      </w:tabs>
      <w:outlineLvl w:val="3"/>
    </w:pPr>
    <w:rPr>
      <w:bCs/>
      <w:sz w:val="20"/>
    </w:rPr>
  </w:style>
  <w:style w:type="paragraph" w:styleId="Berschrift5">
    <w:name w:val="Heading 5"/>
    <w:basedOn w:val="Berschrift"/>
    <w:qFormat/>
    <w:pPr>
      <w:numPr>
        <w:ilvl w:val="4"/>
        <w:numId w:val="1"/>
      </w:numPr>
      <w:spacing w:before="120" w:after="60"/>
      <w:outlineLvl w:val="4"/>
    </w:pPr>
    <w:rPr>
      <w:b/>
      <w:bCs/>
      <w:sz w:val="24"/>
      <w:szCs w:val="24"/>
    </w:rPr>
  </w:style>
  <w:style w:type="paragraph" w:styleId="Berschrift6">
    <w:name w:val="Heading 6"/>
    <w:basedOn w:val="Berschrift"/>
    <w:qFormat/>
    <w:pPr>
      <w:numPr>
        <w:ilvl w:val="5"/>
        <w:numId w:val="1"/>
      </w:numPr>
      <w:spacing w:before="60" w:after="60"/>
      <w:outlineLvl w:val="5"/>
    </w:pPr>
    <w:rPr>
      <w:b/>
      <w:bCs/>
      <w:i/>
      <w:iCs/>
      <w:sz w:val="24"/>
      <w:szCs w:val="24"/>
    </w:rPr>
  </w:style>
  <w:style w:type="paragraph" w:styleId="Berschrift7">
    <w:name w:val="Heading 7"/>
    <w:basedOn w:val="Berschrift"/>
    <w:qFormat/>
    <w:pPr>
      <w:numPr>
        <w:ilvl w:val="6"/>
        <w:numId w:val="1"/>
      </w:numPr>
      <w:spacing w:before="60" w:after="60"/>
      <w:outlineLvl w:val="6"/>
    </w:pPr>
    <w:rPr>
      <w:b/>
      <w:bCs/>
      <w:sz w:val="22"/>
      <w:szCs w:val="22"/>
    </w:rPr>
  </w:style>
  <w:style w:type="paragraph" w:styleId="Berschrift8">
    <w:name w:val="Heading 8"/>
    <w:basedOn w:val="Berschrift"/>
    <w:qFormat/>
    <w:pPr>
      <w:numPr>
        <w:ilvl w:val="7"/>
        <w:numId w:val="1"/>
      </w:numPr>
      <w:spacing w:before="60" w:after="60"/>
      <w:outlineLvl w:val="7"/>
    </w:pPr>
    <w:rPr>
      <w:b/>
      <w:bCs/>
      <w:i/>
      <w:iCs/>
      <w:sz w:val="22"/>
      <w:szCs w:val="22"/>
    </w:rPr>
  </w:style>
  <w:style w:type="paragraph" w:styleId="Berschrift9">
    <w:name w:val="Heading 9"/>
    <w:basedOn w:val="Berschrift"/>
    <w:qFormat/>
    <w:pPr>
      <w:numPr>
        <w:ilvl w:val="8"/>
        <w:numId w:val="1"/>
      </w:numPr>
      <w:spacing w:before="60" w:after="60"/>
      <w:outlineLvl w:val="8"/>
    </w:pPr>
    <w:rPr>
      <w:b/>
      <w:bCs/>
      <w:sz w:val="21"/>
      <w:szCs w:val="21"/>
    </w:rPr>
  </w:style>
  <w:style w:type="character" w:styleId="Heading1Char">
    <w:name w:val="Heading 1 Char"/>
    <w:basedOn w:val="DefaultParagraphFont"/>
    <w:uiPriority w:val="9"/>
    <w:qFormat/>
    <w:rPr>
      <w:rFonts w:ascii="Arial" w:hAnsi="Arial" w:eastAsia="Arial" w:cs="Arial"/>
      <w:sz w:val="40"/>
      <w:szCs w:val="40"/>
    </w:rPr>
  </w:style>
  <w:style w:type="character" w:styleId="Heading2Char">
    <w:name w:val="Heading 2 Char"/>
    <w:basedOn w:val="DefaultParagraphFont"/>
    <w:uiPriority w:val="9"/>
    <w:qFormat/>
    <w:rPr>
      <w:rFonts w:ascii="Arial" w:hAnsi="Arial" w:eastAsia="Arial" w:cs="Arial"/>
      <w:sz w:val="34"/>
    </w:rPr>
  </w:style>
  <w:style w:type="character" w:styleId="Heading3Char">
    <w:name w:val="Heading 3 Char"/>
    <w:basedOn w:val="DefaultParagraphFont"/>
    <w:uiPriority w:val="9"/>
    <w:qFormat/>
    <w:rPr>
      <w:rFonts w:ascii="Arial" w:hAnsi="Arial" w:eastAsia="Arial" w:cs="Arial"/>
      <w:sz w:val="30"/>
      <w:szCs w:val="30"/>
    </w:rPr>
  </w:style>
  <w:style w:type="character" w:styleId="Heading4Char">
    <w:name w:val="Heading 4 Char"/>
    <w:basedOn w:val="DefaultParagraphFont"/>
    <w:uiPriority w:val="9"/>
    <w:qFormat/>
    <w:rPr>
      <w:rFonts w:ascii="Arial" w:hAnsi="Arial" w:eastAsia="Arial" w:cs="Arial"/>
      <w:b/>
      <w:bCs/>
      <w:sz w:val="26"/>
      <w:szCs w:val="26"/>
    </w:rPr>
  </w:style>
  <w:style w:type="character" w:styleId="Heading5Char">
    <w:name w:val="Heading 5 Char"/>
    <w:basedOn w:val="DefaultParagraphFont"/>
    <w:uiPriority w:val="9"/>
    <w:qFormat/>
    <w:rPr>
      <w:rFonts w:ascii="Arial" w:hAnsi="Arial" w:eastAsia="Arial" w:cs="Arial"/>
      <w:b/>
      <w:bCs/>
      <w:sz w:val="24"/>
      <w:szCs w:val="24"/>
    </w:rPr>
  </w:style>
  <w:style w:type="character" w:styleId="Heading6Char">
    <w:name w:val="Heading 6 Char"/>
    <w:basedOn w:val="DefaultParagraphFont"/>
    <w:uiPriority w:val="9"/>
    <w:qFormat/>
    <w:rPr>
      <w:rFonts w:ascii="Arial" w:hAnsi="Arial" w:eastAsia="Arial" w:cs="Arial"/>
      <w:b/>
      <w:bCs/>
      <w:sz w:val="22"/>
      <w:szCs w:val="22"/>
    </w:rPr>
  </w:style>
  <w:style w:type="character" w:styleId="Heading7Char">
    <w:name w:val="Heading 7 Char"/>
    <w:basedOn w:val="DefaultParagraphFont"/>
    <w:uiPriority w:val="9"/>
    <w:qFormat/>
    <w:rPr>
      <w:rFonts w:ascii="Arial" w:hAnsi="Arial" w:eastAsia="Arial" w:cs="Arial"/>
      <w:b/>
      <w:bCs/>
      <w:i/>
      <w:iCs/>
      <w:sz w:val="22"/>
      <w:szCs w:val="22"/>
    </w:rPr>
  </w:style>
  <w:style w:type="character" w:styleId="Heading8Char">
    <w:name w:val="Heading 8 Char"/>
    <w:basedOn w:val="DefaultParagraphFont"/>
    <w:uiPriority w:val="9"/>
    <w:qFormat/>
    <w:rPr>
      <w:rFonts w:ascii="Arial" w:hAnsi="Arial" w:eastAsia="Arial" w:cs="Arial"/>
      <w:i/>
      <w:iCs/>
      <w:sz w:val="22"/>
      <w:szCs w:val="22"/>
    </w:rPr>
  </w:style>
  <w:style w:type="character" w:styleId="Heading9Char">
    <w:name w:val="Heading 9 Char"/>
    <w:basedOn w:val="DefaultParagraphFont"/>
    <w:uiPriority w:val="9"/>
    <w:qFormat/>
    <w:rPr>
      <w:rFonts w:ascii="Arial" w:hAnsi="Arial" w:eastAsia="Arial" w:cs="Arial"/>
      <w:i/>
      <w:iCs/>
      <w:sz w:val="21"/>
      <w:szCs w:val="21"/>
    </w:rPr>
  </w:style>
  <w:style w:type="character" w:styleId="SubtitleChar">
    <w:name w:val="Subtitle Char"/>
    <w:basedOn w:val="DefaultParagraphFont"/>
    <w:uiPriority w:val="11"/>
    <w:qFormat/>
    <w:rPr>
      <w:sz w:val="24"/>
      <w:szCs w:val="24"/>
    </w:rPr>
  </w:style>
  <w:style w:type="character" w:styleId="QuoteChar">
    <w:name w:val="Quote Char"/>
    <w:uiPriority w:val="29"/>
    <w:qFormat/>
    <w:rPr>
      <w:i/>
    </w:rPr>
  </w:style>
  <w:style w:type="character" w:styleId="IntenseQuoteChar">
    <w:name w:val="Intense Quote Char"/>
    <w:uiPriority w:val="30"/>
    <w:qFormat/>
    <w:rPr>
      <w:i/>
    </w:rPr>
  </w:style>
  <w:style w:type="character" w:styleId="CaptionChar">
    <w:name w:val="Caption Char"/>
    <w:uiPriority w:val="99"/>
    <w:qFormat/>
    <w:rPr/>
  </w:style>
  <w:style w:type="character" w:styleId="FootnoteTextChar">
    <w:name w:val="Footnote Text Char"/>
    <w:uiPriority w:val="99"/>
    <w:qFormat/>
    <w:rPr>
      <w:sz w:val="18"/>
    </w:rPr>
  </w:style>
  <w:style w:type="character" w:styleId="EndnoteTextChar">
    <w:name w:val="Endnote Text Char"/>
    <w:uiPriority w:val="99"/>
    <w:qFormat/>
    <w:rPr>
      <w:sz w:val="20"/>
    </w:rPr>
  </w:style>
  <w:style w:type="character" w:styleId="DefaultParagraphFont" w:default="1">
    <w:name w:val="Default Paragraph Font"/>
    <w:uiPriority w:val="1"/>
    <w:semiHidden/>
    <w:unhideWhenUsed/>
    <w:qFormat/>
    <w:rPr/>
  </w:style>
  <w:style w:type="character" w:styleId="Berschrift1Zchn1" w:customStyle="1">
    <w:name w:val="Überschrift 1 Zchn1"/>
    <w:basedOn w:val="DefaultParagraphFont"/>
    <w:uiPriority w:val="9"/>
    <w:qFormat/>
    <w:rPr>
      <w:rFonts w:ascii="Arial" w:hAnsi="Arial" w:eastAsia="Arial" w:cs="Arial"/>
      <w:sz w:val="40"/>
      <w:szCs w:val="40"/>
    </w:rPr>
  </w:style>
  <w:style w:type="character" w:styleId="Berschrift2Zchn" w:customStyle="1">
    <w:name w:val="Überschrift 2 Zchn"/>
    <w:basedOn w:val="DefaultParagraphFont"/>
    <w:uiPriority w:val="9"/>
    <w:qFormat/>
    <w:rPr>
      <w:rFonts w:ascii="Arial" w:hAnsi="Arial" w:eastAsia="Arial" w:cs="Arial"/>
      <w:sz w:val="34"/>
    </w:rPr>
  </w:style>
  <w:style w:type="character" w:styleId="Berschrift3Zchn" w:customStyle="1">
    <w:name w:val="Überschrift 3 Zchn"/>
    <w:basedOn w:val="DefaultParagraphFont"/>
    <w:uiPriority w:val="9"/>
    <w:qFormat/>
    <w:rPr>
      <w:rFonts w:ascii="Arial" w:hAnsi="Arial" w:eastAsia="Arial" w:cs="Arial"/>
      <w:sz w:val="30"/>
      <w:szCs w:val="30"/>
    </w:rPr>
  </w:style>
  <w:style w:type="character" w:styleId="Berschrift4Zchn" w:customStyle="1">
    <w:name w:val="Überschrift 4 Zchn"/>
    <w:basedOn w:val="DefaultParagraphFont"/>
    <w:uiPriority w:val="9"/>
    <w:qFormat/>
    <w:rPr>
      <w:rFonts w:ascii="Arial" w:hAnsi="Arial" w:eastAsia="Arial" w:cs="Arial"/>
      <w:b/>
      <w:bCs/>
      <w:sz w:val="26"/>
      <w:szCs w:val="26"/>
    </w:rPr>
  </w:style>
  <w:style w:type="character" w:styleId="Berschrift5Zchn" w:customStyle="1">
    <w:name w:val="Überschrift 5 Zchn"/>
    <w:basedOn w:val="DefaultParagraphFont"/>
    <w:uiPriority w:val="9"/>
    <w:qFormat/>
    <w:rPr>
      <w:rFonts w:ascii="Arial" w:hAnsi="Arial" w:eastAsia="Arial" w:cs="Arial"/>
      <w:b/>
      <w:bCs/>
      <w:sz w:val="24"/>
      <w:szCs w:val="24"/>
    </w:rPr>
  </w:style>
  <w:style w:type="character" w:styleId="Berschrift6Zchn" w:customStyle="1">
    <w:name w:val="Überschrift 6 Zchn"/>
    <w:basedOn w:val="DefaultParagraphFont"/>
    <w:uiPriority w:val="9"/>
    <w:qFormat/>
    <w:rPr>
      <w:rFonts w:ascii="Arial" w:hAnsi="Arial" w:eastAsia="Arial" w:cs="Arial"/>
      <w:b/>
      <w:bCs/>
      <w:sz w:val="22"/>
      <w:szCs w:val="22"/>
    </w:rPr>
  </w:style>
  <w:style w:type="character" w:styleId="Berschrift7Zchn" w:customStyle="1">
    <w:name w:val="Überschrift 7 Zchn"/>
    <w:basedOn w:val="DefaultParagraphFont"/>
    <w:uiPriority w:val="9"/>
    <w:qFormat/>
    <w:rPr>
      <w:rFonts w:ascii="Arial" w:hAnsi="Arial" w:eastAsia="Arial" w:cs="Arial"/>
      <w:b/>
      <w:bCs/>
      <w:i/>
      <w:iCs/>
      <w:sz w:val="22"/>
      <w:szCs w:val="22"/>
    </w:rPr>
  </w:style>
  <w:style w:type="character" w:styleId="Berschrift8Zchn" w:customStyle="1">
    <w:name w:val="Überschrift 8 Zchn"/>
    <w:basedOn w:val="DefaultParagraphFont"/>
    <w:uiPriority w:val="9"/>
    <w:qFormat/>
    <w:rPr>
      <w:rFonts w:ascii="Arial" w:hAnsi="Arial" w:eastAsia="Arial" w:cs="Arial"/>
      <w:i/>
      <w:iCs/>
      <w:sz w:val="22"/>
      <w:szCs w:val="22"/>
    </w:rPr>
  </w:style>
  <w:style w:type="character" w:styleId="Berschrift9Zchn" w:customStyle="1">
    <w:name w:val="Überschrift 9 Zchn"/>
    <w:basedOn w:val="DefaultParagraphFont"/>
    <w:uiPriority w:val="9"/>
    <w:qFormat/>
    <w:rPr>
      <w:rFonts w:ascii="Arial" w:hAnsi="Arial" w:eastAsia="Arial" w:cs="Arial"/>
      <w:i/>
      <w:iCs/>
      <w:sz w:val="21"/>
      <w:szCs w:val="21"/>
    </w:rPr>
  </w:style>
  <w:style w:type="character" w:styleId="TitleChar" w:customStyle="1">
    <w:name w:val="Title Char"/>
    <w:basedOn w:val="DefaultParagraphFont"/>
    <w:uiPriority w:val="10"/>
    <w:qFormat/>
    <w:rPr>
      <w:sz w:val="48"/>
      <w:szCs w:val="48"/>
    </w:rPr>
  </w:style>
  <w:style w:type="character" w:styleId="UntertitelZchn" w:customStyle="1">
    <w:name w:val="Untertitel Zchn"/>
    <w:basedOn w:val="DefaultParagraphFont"/>
    <w:uiPriority w:val="11"/>
    <w:qFormat/>
    <w:rPr>
      <w:sz w:val="24"/>
      <w:szCs w:val="24"/>
    </w:rPr>
  </w:style>
  <w:style w:type="character" w:styleId="ZitatZchn1" w:customStyle="1">
    <w:name w:val="Zitat Zchn1"/>
    <w:uiPriority w:val="29"/>
    <w:qFormat/>
    <w:rPr>
      <w:i/>
    </w:rPr>
  </w:style>
  <w:style w:type="character" w:styleId="IntensivesZitatZchn" w:customStyle="1">
    <w:name w:val="Intensives Zitat Zchn"/>
    <w:uiPriority w:val="30"/>
    <w:qFormat/>
    <w:rPr>
      <w:i/>
    </w:rPr>
  </w:style>
  <w:style w:type="character" w:styleId="HeaderChar" w:customStyle="1">
    <w:name w:val="Header Char"/>
    <w:basedOn w:val="DefaultParagraphFont"/>
    <w:uiPriority w:val="99"/>
    <w:qFormat/>
    <w:rPr/>
  </w:style>
  <w:style w:type="character" w:styleId="FooterChar" w:customStyle="1">
    <w:name w:val="Footer Char"/>
    <w:basedOn w:val="DefaultParagraphFont"/>
    <w:uiPriority w:val="99"/>
    <w:qFormat/>
    <w:rPr/>
  </w:style>
  <w:style w:type="character" w:styleId="FuzeileZchn" w:customStyle="1">
    <w:name w:val="Fußzeile Zchn"/>
    <w:uiPriority w:val="99"/>
    <w:qFormat/>
    <w:rPr/>
  </w:style>
  <w:style w:type="character" w:styleId="Internetverknpfung" w:customStyle="1">
    <w:name w:val="Internetverknüpfung"/>
    <w:uiPriority w:val="99"/>
    <w:rPr>
      <w:color w:val="0000FF"/>
      <w:u w:val="single"/>
    </w:rPr>
  </w:style>
  <w:style w:type="character" w:styleId="FunotentextZchn1" w:customStyle="1">
    <w:name w:val="Fußnotentext Zchn1"/>
    <w:uiPriority w:val="99"/>
    <w:qFormat/>
    <w:rPr>
      <w:sz w:val="18"/>
    </w:rPr>
  </w:style>
  <w:style w:type="character" w:styleId="Funotenanker" w:customStyle="1">
    <w:name w:val="Fußnotenanker"/>
    <w:rPr>
      <w:vertAlign w:val="superscript"/>
    </w:rPr>
  </w:style>
  <w:style w:type="character" w:styleId="FootnoteCharacters" w:customStyle="1">
    <w:name w:val="Footnote Characters"/>
    <w:basedOn w:val="DefaultParagraphFont"/>
    <w:semiHidden/>
    <w:unhideWhenUsed/>
    <w:qFormat/>
    <w:rPr>
      <w:vertAlign w:val="superscript"/>
    </w:rPr>
  </w:style>
  <w:style w:type="character" w:styleId="EndnotentextZchn" w:customStyle="1">
    <w:name w:val="Endnotentext Zchn"/>
    <w:uiPriority w:val="99"/>
    <w:qFormat/>
    <w:rPr>
      <w:sz w:val="20"/>
    </w:rPr>
  </w:style>
  <w:style w:type="character" w:styleId="Endnotenanker">
    <w:name w:val="Endnotenanker"/>
    <w:rPr>
      <w:vertAlign w:val="superscript"/>
    </w:rPr>
  </w:style>
  <w:style w:type="character" w:styleId="EndnoteCharacters">
    <w:name w:val="Endnote Characters"/>
    <w:basedOn w:val="DefaultParagraphFont"/>
    <w:uiPriority w:val="99"/>
    <w:semiHidden/>
    <w:unhideWhenUsed/>
    <w:qFormat/>
    <w:rPr>
      <w:vertAlign w:val="superscript"/>
    </w:rPr>
  </w:style>
  <w:style w:type="character" w:styleId="WWAbsatzStandardschriftart" w:customStyle="1">
    <w:name w:val="WW-Absatz-Standardschriftart"/>
    <w:qFormat/>
    <w:rPr/>
  </w:style>
  <w:style w:type="character" w:styleId="WWAbsatzStandardschriftart1" w:customStyle="1">
    <w:name w:val="WW-Absatz-Standardschriftart1"/>
    <w:qFormat/>
    <w:rPr/>
  </w:style>
  <w:style w:type="character" w:styleId="Pagenumber">
    <w:name w:val="page number"/>
    <w:basedOn w:val="DefaultParagraphFont"/>
    <w:qFormat/>
    <w:rPr/>
  </w:style>
  <w:style w:type="character" w:styleId="KopfzeileZchn" w:customStyle="1">
    <w:name w:val="Kopfzeile Zchn"/>
    <w:basedOn w:val="DefaultParagraphFont"/>
    <w:qFormat/>
    <w:rPr>
      <w:rFonts w:ascii="Arial" w:hAnsi="Arial"/>
      <w:sz w:val="22"/>
      <w:lang w:val="de-DE" w:eastAsia="ar-SA"/>
    </w:rPr>
  </w:style>
  <w:style w:type="character" w:styleId="AnredeZchn" w:customStyle="1">
    <w:name w:val="Anrede Zchn"/>
    <w:basedOn w:val="DefaultParagraphFont"/>
    <w:qFormat/>
    <w:rPr>
      <w:rFonts w:ascii="Arial" w:hAnsi="Arial"/>
      <w:sz w:val="22"/>
      <w:lang w:val="de-DE" w:eastAsia="de-DE"/>
    </w:rPr>
  </w:style>
  <w:style w:type="character" w:styleId="Nachrichtenkopfbeschriftung" w:customStyle="1">
    <w:name w:val="Nachrichtenkopfbeschriftung"/>
    <w:qFormat/>
    <w:rPr>
      <w:rFonts w:cs="Arial"/>
      <w:b/>
      <w:spacing w:val="-4"/>
      <w:sz w:val="22"/>
    </w:rPr>
  </w:style>
  <w:style w:type="character" w:styleId="Betont" w:customStyle="1">
    <w:name w:val="Betont"/>
    <w:qFormat/>
    <w:rPr>
      <w:rFonts w:ascii="Trebuchet MS" w:hAnsi="Trebuchet MS"/>
      <w:b/>
      <w:spacing w:val="-10"/>
      <w:sz w:val="18"/>
    </w:rPr>
  </w:style>
  <w:style w:type="character" w:styleId="TextkrperZchn" w:customStyle="1">
    <w:name w:val="Textkörper Zchn"/>
    <w:basedOn w:val="DefaultParagraphFont"/>
    <w:qFormat/>
    <w:rPr>
      <w:rFonts w:ascii="Arial" w:hAnsi="Arial"/>
      <w:sz w:val="22"/>
      <w:lang w:val="de-DE" w:eastAsia="ar-SA"/>
    </w:rPr>
  </w:style>
  <w:style w:type="character" w:styleId="AnredeZchn1" w:customStyle="1">
    <w:name w:val="Anrede Zchn1"/>
    <w:basedOn w:val="DefaultParagraphFont"/>
    <w:qFormat/>
    <w:rPr>
      <w:rFonts w:ascii="Arial" w:hAnsi="Arial"/>
      <w:sz w:val="22"/>
      <w:lang w:val="de-DE" w:eastAsia="ar-SA"/>
    </w:rPr>
  </w:style>
  <w:style w:type="character" w:styleId="UnterschriftZchn" w:customStyle="1">
    <w:name w:val="Unterschrift Zchn"/>
    <w:basedOn w:val="DefaultParagraphFont"/>
    <w:qFormat/>
    <w:rPr>
      <w:rFonts w:ascii="Arial" w:hAnsi="Arial"/>
      <w:sz w:val="22"/>
      <w:lang w:val="de-DE" w:eastAsia="ar-SA"/>
    </w:rPr>
  </w:style>
  <w:style w:type="character" w:styleId="SprechblasentextZchn" w:customStyle="1">
    <w:name w:val="Sprechblasentext Zchn"/>
    <w:basedOn w:val="DefaultParagraphFont"/>
    <w:qFormat/>
    <w:rPr>
      <w:rFonts w:ascii="Tahoma" w:hAnsi="Tahoma" w:cs="Tahoma"/>
      <w:sz w:val="16"/>
      <w:szCs w:val="16"/>
      <w:lang w:val="de-DE" w:eastAsia="ar-SA"/>
    </w:rPr>
  </w:style>
  <w:style w:type="character" w:styleId="TitelZchn" w:customStyle="1">
    <w:name w:val="Titel Zchn"/>
    <w:basedOn w:val="DefaultParagraphFont"/>
    <w:qFormat/>
    <w:rPr>
      <w:rFonts w:ascii="Arial" w:hAnsi="Arial" w:eastAsia="Arial" w:cs="Arial"/>
      <w:smallCaps/>
      <w:sz w:val="44"/>
      <w:szCs w:val="52"/>
      <w:lang w:eastAsia="ar-SA"/>
    </w:rPr>
  </w:style>
  <w:style w:type="character" w:styleId="ZitatZchn" w:customStyle="1">
    <w:name w:val="Zitat Zchn"/>
    <w:basedOn w:val="DefaultParagraphFont"/>
    <w:uiPriority w:val="29"/>
    <w:qFormat/>
    <w:rPr>
      <w:rFonts w:ascii="Arial" w:hAnsi="Arial"/>
      <w:i/>
      <w:iCs/>
      <w:color w:val="000000" w:themeColor="text1"/>
      <w:sz w:val="22"/>
      <w:lang w:val="de-DE" w:eastAsia="ar-SA"/>
    </w:rPr>
  </w:style>
  <w:style w:type="character" w:styleId="BookTitle">
    <w:name w:val="Book Title"/>
    <w:basedOn w:val="DefaultParagraphFont"/>
    <w:uiPriority w:val="33"/>
    <w:qFormat/>
    <w:rPr>
      <w:b/>
      <w:bCs/>
      <w:smallCaps/>
      <w:spacing w:val="5"/>
    </w:rPr>
  </w:style>
  <w:style w:type="character" w:styleId="AbstractZchn" w:customStyle="1">
    <w:name w:val="Abstract Zchn"/>
    <w:basedOn w:val="DefaultParagraphFont"/>
    <w:qFormat/>
    <w:rPr>
      <w:rFonts w:ascii="Arial" w:hAnsi="Arial"/>
      <w:i/>
      <w:sz w:val="22"/>
      <w:lang w:val="de-DE" w:eastAsia="ar-SA"/>
    </w:rPr>
  </w:style>
  <w:style w:type="character" w:styleId="FunotentextZchn" w:customStyle="1">
    <w:name w:val="Fußnotentext Zchn"/>
    <w:basedOn w:val="DefaultParagraphFont"/>
    <w:semiHidden/>
    <w:qFormat/>
    <w:rPr>
      <w:rFonts w:ascii="Arial" w:hAnsi="Arial"/>
      <w:lang w:val="de-DE" w:eastAsia="ar-SA"/>
    </w:rPr>
  </w:style>
  <w:style w:type="character" w:styleId="Berschrift1Zchn" w:customStyle="1">
    <w:name w:val="Überschrift 1 Zchn"/>
    <w:basedOn w:val="DefaultParagraphFont"/>
    <w:uiPriority w:val="9"/>
    <w:qFormat/>
    <w:rPr>
      <w:rFonts w:ascii="Arial" w:hAnsi="Arial" w:cs="Arial"/>
      <w:b/>
      <w:bCs/>
      <w:sz w:val="28"/>
      <w:szCs w:val="32"/>
      <w:lang w:val="de-DE" w:eastAsia="ar-SA"/>
    </w:rPr>
  </w:style>
  <w:style w:type="character" w:styleId="CodeZchn" w:customStyle="1">
    <w:name w:val="Code Zchn"/>
    <w:basedOn w:val="TextkrperZchn"/>
    <w:qFormat/>
    <w:rPr>
      <w:rFonts w:ascii="Courier New" w:hAnsi="Courier New" w:cs="Courier New"/>
      <w:sz w:val="22"/>
      <w:lang w:val="de-DE" w:eastAsia="ar-SA"/>
    </w:rPr>
  </w:style>
  <w:style w:type="character" w:styleId="Verzeichnissprung" w:customStyle="1">
    <w:name w:val="Verzeichnissprung"/>
    <w:qFormat/>
    <w:rPr/>
  </w:style>
  <w:style w:type="character" w:styleId="Hljscomment" w:customStyle="1">
    <w:name w:val="hljs-comment"/>
    <w:basedOn w:val="DefaultParagraphFont"/>
    <w:qFormat/>
    <w:rPr/>
  </w:style>
  <w:style w:type="character" w:styleId="Hljskeyword" w:customStyle="1">
    <w:name w:val="hljs-keyword"/>
    <w:basedOn w:val="DefaultParagraphFont"/>
    <w:qFormat/>
    <w:rPr/>
  </w:style>
  <w:style w:type="character" w:styleId="Hljsnumber" w:customStyle="1">
    <w:name w:val="hljs-number"/>
    <w:basedOn w:val="DefaultParagraphFont"/>
    <w:qFormat/>
    <w:rPr/>
  </w:style>
  <w:style w:type="character" w:styleId="Aufzhlungszeichen">
    <w:name w:val="Aufzählungszeichen"/>
    <w:qFormat/>
    <w:rPr>
      <w:rFonts w:ascii="OpenSymbol" w:hAnsi="OpenSymbol" w:eastAsia="OpenSymbol" w:cs="OpenSymbol"/>
    </w:rPr>
  </w:style>
  <w:style w:type="character" w:styleId="Starkbetont">
    <w:name w:val="Stark betont"/>
    <w:qFormat/>
    <w:rPr>
      <w:b/>
      <w:bCs/>
    </w:rPr>
  </w:style>
  <w:style w:type="character" w:styleId="Quelltext">
    <w:name w:val="Quelltext"/>
    <w:qFormat/>
    <w:rPr>
      <w:rFonts w:ascii="Liberation Mono" w:hAnsi="Liberation Mono" w:eastAsia="Liberation Mono" w:cs="Liberation Mono"/>
    </w:rPr>
  </w:style>
  <w:style w:type="paragraph" w:styleId="Berschrift" w:customStyle="1">
    <w:name w:val="Überschrift"/>
    <w:basedOn w:val="Normal"/>
    <w:next w:val="Textkrper"/>
    <w:qFormat/>
    <w:pPr>
      <w:keepNext w:val="true"/>
      <w:spacing w:before="240" w:after="120"/>
    </w:pPr>
    <w:rPr>
      <w:rFonts w:eastAsia="Lucida Sans Unicode" w:cs="Tahoma"/>
      <w:sz w:val="28"/>
      <w:szCs w:val="28"/>
    </w:rPr>
  </w:style>
  <w:style w:type="paragraph" w:styleId="Textkrper">
    <w:name w:val="Body Text"/>
    <w:basedOn w:val="Normal"/>
    <w:qFormat/>
    <w:pPr>
      <w:jc w:val="both"/>
    </w:pPr>
    <w:rPr/>
  </w:style>
  <w:style w:type="paragraph" w:styleId="Aufzhlung">
    <w:name w:val="List"/>
    <w:basedOn w:val="Textkrper"/>
    <w:pPr/>
    <w:rPr>
      <w:rFonts w:cs="Tahoma"/>
    </w:rPr>
  </w:style>
  <w:style w:type="paragraph" w:styleId="Beschriftung">
    <w:name w:val="Caption"/>
    <w:basedOn w:val="Normal"/>
    <w:qFormat/>
    <w:pPr>
      <w:suppressLineNumbers/>
      <w:spacing w:before="120" w:after="120"/>
    </w:pPr>
    <w:rPr>
      <w:rFonts w:cs="Tahoma"/>
      <w:i/>
      <w:iCs/>
      <w:sz w:val="20"/>
    </w:rPr>
  </w:style>
  <w:style w:type="paragraph" w:styleId="Verzeichnis" w:customStyle="1">
    <w:name w:val="Verzeichnis"/>
    <w:basedOn w:val="Normal"/>
    <w:qFormat/>
    <w:pPr>
      <w:suppressLineNumbers/>
    </w:pPr>
    <w:rPr>
      <w:rFonts w:cs="Tahoma"/>
    </w:rPr>
  </w:style>
  <w:style w:type="paragraph" w:styleId="Tableoffigures">
    <w:name w:val="table of figures"/>
    <w:basedOn w:val="Normal"/>
    <w:uiPriority w:val="99"/>
    <w:unhideWhenUsed/>
    <w:qFormat/>
    <w:pPr>
      <w:spacing w:before="0" w:afterAutospacing="0" w:after="0"/>
    </w:pPr>
    <w:rPr/>
  </w:style>
  <w:style w:type="paragraph" w:styleId="ListParagraph">
    <w:name w:val="List Paragraph"/>
    <w:basedOn w:val="Normal"/>
    <w:uiPriority w:val="34"/>
    <w:qFormat/>
    <w:pPr>
      <w:spacing w:before="0" w:after="0"/>
      <w:ind w:left="720" w:hanging="0"/>
      <w:contextualSpacing/>
    </w:pPr>
    <w:rPr/>
  </w:style>
  <w:style w:type="paragraph" w:styleId="NoSpacing">
    <w:name w:val="No Spacing"/>
    <w:uiPriority w:val="1"/>
    <w:qFormat/>
    <w:pPr>
      <w:widowControl/>
      <w:suppressAutoHyphens w:val="true"/>
      <w:bidi w:val="0"/>
      <w:spacing w:before="0" w:after="0"/>
      <w:jc w:val="left"/>
    </w:pPr>
    <w:rPr>
      <w:rFonts w:ascii="Times New Roman" w:hAnsi="Times New Roman" w:eastAsia="Noto Serif CJK SC" w:cs="Lohit Devanagari"/>
      <w:color w:val="auto"/>
      <w:kern w:val="0"/>
      <w:sz w:val="20"/>
      <w:szCs w:val="20"/>
      <w:lang w:val="de-AT" w:eastAsia="de-AT" w:bidi="ar-SA"/>
    </w:rPr>
  </w:style>
  <w:style w:type="paragraph" w:styleId="Untertitel">
    <w:name w:val="Subtitle"/>
    <w:basedOn w:val="Normal"/>
    <w:uiPriority w:val="11"/>
    <w:qFormat/>
    <w:pPr>
      <w:spacing w:before="200" w:after="200"/>
    </w:pPr>
    <w:rPr>
      <w:sz w:val="24"/>
      <w:szCs w:val="24"/>
    </w:rPr>
  </w:style>
  <w:style w:type="paragraph" w:styleId="IntenseQuote">
    <w:name w:val="Intense Quote"/>
    <w:basedOn w:val="Normal"/>
    <w:uiPriority w:val="30"/>
    <w:qFormat/>
    <w:pPr>
      <w:pBdr>
        <w:top w:val="single" w:sz="4" w:space="5" w:color="FFFFFF"/>
        <w:left w:val="single" w:sz="4" w:space="10" w:color="FFFFFF"/>
        <w:bottom w:val="single" w:sz="4" w:space="5" w:color="FFFFFF"/>
        <w:right w:val="single" w:sz="4" w:space="10" w:color="FFFFFF"/>
      </w:pBdr>
      <w:shd w:val="clear" w:color="F2F2F2" w:fill="F2F2F2"/>
      <w:ind w:left="720" w:right="720" w:hanging="0"/>
    </w:pPr>
    <w:rPr>
      <w:i/>
    </w:rPr>
  </w:style>
  <w:style w:type="paragraph" w:styleId="Endnote">
    <w:name w:val="Endnote Text"/>
    <w:basedOn w:val="Normal"/>
    <w:uiPriority w:val="99"/>
    <w:semiHidden/>
    <w:unhideWhenUsed/>
    <w:pPr/>
    <w:rPr>
      <w:sz w:val="20"/>
    </w:rPr>
  </w:style>
  <w:style w:type="paragraph" w:styleId="Inhaltsverzeichnis5">
    <w:name w:val="TOC 5"/>
    <w:basedOn w:val="Normal"/>
    <w:uiPriority w:val="39"/>
    <w:unhideWhenUsed/>
    <w:pPr>
      <w:spacing w:before="0" w:after="57"/>
      <w:ind w:left="1134" w:hanging="0"/>
    </w:pPr>
    <w:rPr/>
  </w:style>
  <w:style w:type="paragraph" w:styleId="Inhaltsverzeichnis6">
    <w:name w:val="TOC 6"/>
    <w:basedOn w:val="Normal"/>
    <w:uiPriority w:val="39"/>
    <w:unhideWhenUsed/>
    <w:pPr>
      <w:spacing w:before="0" w:after="57"/>
      <w:ind w:left="1417" w:hanging="0"/>
    </w:pPr>
    <w:rPr/>
  </w:style>
  <w:style w:type="paragraph" w:styleId="Inhaltsverzeichnis7">
    <w:name w:val="TOC 7"/>
    <w:basedOn w:val="Normal"/>
    <w:uiPriority w:val="39"/>
    <w:unhideWhenUsed/>
    <w:pPr>
      <w:spacing w:before="0" w:after="57"/>
      <w:ind w:left="1701" w:hanging="0"/>
    </w:pPr>
    <w:rPr/>
  </w:style>
  <w:style w:type="paragraph" w:styleId="Inhaltsverzeichnis8">
    <w:name w:val="TOC 8"/>
    <w:basedOn w:val="Normal"/>
    <w:uiPriority w:val="39"/>
    <w:unhideWhenUsed/>
    <w:pPr>
      <w:spacing w:before="0" w:after="57"/>
      <w:ind w:left="1984" w:hanging="0"/>
    </w:pPr>
    <w:rPr/>
  </w:style>
  <w:style w:type="paragraph" w:styleId="Inhaltsverzeichnis9">
    <w:name w:val="TOC 9"/>
    <w:basedOn w:val="Normal"/>
    <w:uiPriority w:val="39"/>
    <w:unhideWhenUsed/>
    <w:pPr>
      <w:spacing w:before="0" w:after="57"/>
      <w:ind w:left="2268" w:hanging="0"/>
    </w:pPr>
    <w:rPr/>
  </w:style>
  <w:style w:type="paragraph" w:styleId="Stichwortverzeichnisberschrift">
    <w:name w:val="Index Heading"/>
    <w:basedOn w:val="Berschrift"/>
    <w:pPr/>
    <w:rPr/>
  </w:style>
  <w:style w:type="paragraph" w:styleId="Inhaltsverzeichnisberschrift">
    <w:name w:val="TOC Heading"/>
    <w:uiPriority w:val="39"/>
    <w:unhideWhenUsed/>
    <w:pPr>
      <w:widowControl/>
      <w:suppressAutoHyphens w:val="true"/>
      <w:bidi w:val="0"/>
      <w:spacing w:before="0" w:after="0"/>
      <w:jc w:val="left"/>
    </w:pPr>
    <w:rPr>
      <w:rFonts w:ascii="Times New Roman" w:hAnsi="Times New Roman" w:eastAsia="Noto Serif CJK SC" w:cs="Lohit Devanagari"/>
      <w:color w:val="auto"/>
      <w:kern w:val="0"/>
      <w:sz w:val="20"/>
      <w:szCs w:val="20"/>
      <w:lang w:val="de-AT" w:eastAsia="de-AT" w:bidi="ar-SA"/>
    </w:rPr>
  </w:style>
  <w:style w:type="paragraph" w:styleId="KopfundFuzeile" w:customStyle="1">
    <w:name w:val="Kopf- und Fußzeile"/>
    <w:basedOn w:val="Normal"/>
    <w:qFormat/>
    <w:pPr/>
    <w:rPr/>
  </w:style>
  <w:style w:type="paragraph" w:styleId="Kopfzeile">
    <w:name w:val="Header"/>
    <w:basedOn w:val="Normal"/>
    <w:pPr>
      <w:tabs>
        <w:tab w:val="clear" w:pos="720"/>
        <w:tab w:val="center" w:pos="4536" w:leader="none"/>
        <w:tab w:val="right" w:pos="9072" w:leader="none"/>
      </w:tabs>
    </w:pPr>
    <w:rPr/>
  </w:style>
  <w:style w:type="paragraph" w:styleId="Fuzeile">
    <w:name w:val="Footer"/>
    <w:basedOn w:val="Normal"/>
    <w:pPr>
      <w:tabs>
        <w:tab w:val="clear" w:pos="720"/>
        <w:tab w:val="center" w:pos="4536" w:leader="none"/>
        <w:tab w:val="right" w:pos="9072" w:leader="none"/>
      </w:tabs>
    </w:pPr>
    <w:rPr>
      <w:sz w:val="16"/>
    </w:rPr>
  </w:style>
  <w:style w:type="paragraph" w:styleId="WWAnrede" w:customStyle="1">
    <w:name w:val="WW-Anrede"/>
    <w:basedOn w:val="Normal"/>
    <w:qFormat/>
    <w:pPr>
      <w:spacing w:before="240" w:after="240"/>
    </w:pPr>
    <w:rPr/>
  </w:style>
  <w:style w:type="paragraph" w:styleId="Closing">
    <w:name w:val="Closing"/>
    <w:basedOn w:val="Normal"/>
    <w:qFormat/>
    <w:pPr>
      <w:keepNext w:val="true"/>
      <w:spacing w:before="0" w:after="240"/>
    </w:pPr>
    <w:rPr/>
  </w:style>
  <w:style w:type="paragraph" w:styleId="Unterschrift">
    <w:name w:val="Signature"/>
    <w:basedOn w:val="Normal"/>
    <w:pPr>
      <w:keepNext w:val="true"/>
      <w:spacing w:before="720" w:after="0"/>
    </w:pPr>
    <w:rPr/>
  </w:style>
  <w:style w:type="paragraph" w:styleId="FirmenunterschriftAbteilung" w:customStyle="1">
    <w:name w:val="Firmenunterschrift Abteilung"/>
    <w:basedOn w:val="Unterschrift"/>
    <w:qFormat/>
    <w:pPr>
      <w:spacing w:before="0" w:after="0"/>
    </w:pPr>
    <w:rPr/>
  </w:style>
  <w:style w:type="paragraph" w:styleId="Briefkopfadresse" w:customStyle="1">
    <w:name w:val="Briefkopfadresse"/>
    <w:basedOn w:val="Normal"/>
    <w:qFormat/>
    <w:pPr/>
    <w:rPr/>
  </w:style>
  <w:style w:type="paragraph" w:styleId="Bezugszeichenzeile" w:customStyle="1">
    <w:name w:val="Bezugszeichenzeile"/>
    <w:basedOn w:val="Normal"/>
    <w:qFormat/>
    <w:pPr>
      <w:tabs>
        <w:tab w:val="clear" w:pos="720"/>
        <w:tab w:val="left" w:pos="2835" w:leader="none"/>
        <w:tab w:val="left" w:pos="5783" w:leader="none"/>
        <w:tab w:val="left" w:pos="8080" w:leader="none"/>
      </w:tabs>
    </w:pPr>
    <w:rPr>
      <w:sz w:val="16"/>
    </w:rPr>
  </w:style>
  <w:style w:type="paragraph" w:styleId="Bezugszeichentext" w:customStyle="1">
    <w:name w:val="Bezugszeichentext"/>
    <w:basedOn w:val="Bezugszeichenzeile"/>
    <w:qFormat/>
    <w:pPr>
      <w:ind w:right="-964" w:hanging="0"/>
    </w:pPr>
    <w:rPr>
      <w:sz w:val="20"/>
      <w:lang w:val="de-AT"/>
    </w:rPr>
  </w:style>
  <w:style w:type="paragraph" w:styleId="Betreffzeile" w:customStyle="1">
    <w:name w:val="Betreffzeile"/>
    <w:basedOn w:val="Normal"/>
    <w:qFormat/>
    <w:pPr>
      <w:spacing w:before="0" w:after="240"/>
    </w:pPr>
    <w:rPr>
      <w:b/>
    </w:rPr>
  </w:style>
  <w:style w:type="paragraph" w:styleId="Firmenunterschrift" w:customStyle="1">
    <w:name w:val="Firmenunterschrift"/>
    <w:basedOn w:val="Unterschrift"/>
    <w:qFormat/>
    <w:pPr>
      <w:spacing w:before="0" w:after="0"/>
    </w:pPr>
    <w:rPr/>
  </w:style>
  <w:style w:type="paragraph" w:styleId="EinzugTextkrper">
    <w:name w:val="Body Text Indent"/>
    <w:basedOn w:val="Normal"/>
    <w:pPr>
      <w:ind w:left="426" w:hanging="0"/>
    </w:pPr>
    <w:rPr/>
  </w:style>
  <w:style w:type="paragraph" w:styleId="Berichttitel" w:customStyle="1">
    <w:name w:val="Berichttitel"/>
    <w:basedOn w:val="Normal"/>
    <w:qFormat/>
    <w:pPr/>
    <w:rPr>
      <w:color w:val="FF0000"/>
      <w:sz w:val="28"/>
    </w:rPr>
  </w:style>
  <w:style w:type="paragraph" w:styleId="Rahmeninhalt" w:customStyle="1">
    <w:name w:val="Rahmeninhalt"/>
    <w:basedOn w:val="Textkrper"/>
    <w:qFormat/>
    <w:pPr/>
    <w:rPr/>
  </w:style>
  <w:style w:type="paragraph" w:styleId="TabellenInhalt" w:customStyle="1">
    <w:name w:val="Tabellen Inhalt"/>
    <w:basedOn w:val="Textkrper"/>
    <w:qFormat/>
    <w:pPr>
      <w:suppressLineNumbers/>
    </w:pPr>
    <w:rPr/>
  </w:style>
  <w:style w:type="paragraph" w:styleId="Tabellenberschrift" w:customStyle="1">
    <w:name w:val="Tabellen Überschrift"/>
    <w:basedOn w:val="TabellenInhalt"/>
    <w:qFormat/>
    <w:pPr>
      <w:jc w:val="center"/>
    </w:pPr>
    <w:rPr>
      <w:b/>
      <w:bCs/>
      <w:i/>
      <w:iCs/>
    </w:rPr>
  </w:style>
  <w:style w:type="paragraph" w:styleId="HEAD" w:customStyle="1">
    <w:name w:val="HEAD"/>
    <w:basedOn w:val="Textkrper"/>
    <w:qFormat/>
    <w:pPr>
      <w:shd w:val="clear" w:color="404040" w:fill="404040"/>
      <w:spacing w:before="60" w:after="60"/>
      <w:jc w:val="center"/>
    </w:pPr>
    <w:rPr>
      <w:b/>
      <w:bCs/>
      <w:smallCaps/>
      <w:color w:val="FFFFFF"/>
      <w:sz w:val="32"/>
      <w:lang w:eastAsia="en-US"/>
    </w:rPr>
  </w:style>
  <w:style w:type="paragraph" w:styleId="Inhaltsverzeichnis1">
    <w:name w:val="TOC 1"/>
    <w:basedOn w:val="Normal"/>
    <w:uiPriority w:val="39"/>
    <w:pPr>
      <w:pBdr>
        <w:top w:val="single" w:sz="4" w:space="1" w:color="000000"/>
        <w:left w:val="single" w:sz="4" w:space="4" w:color="000000"/>
        <w:bottom w:val="single" w:sz="4" w:space="1" w:color="000000"/>
        <w:right w:val="single" w:sz="4" w:space="4" w:color="000000"/>
      </w:pBdr>
      <w:tabs>
        <w:tab w:val="clear" w:pos="720"/>
        <w:tab w:val="left" w:pos="567" w:leader="none"/>
        <w:tab w:val="left" w:pos="1134" w:leader="none"/>
        <w:tab w:val="right" w:pos="9072" w:leader="none"/>
      </w:tabs>
      <w:ind w:left="567" w:right="567" w:hanging="0"/>
    </w:pPr>
    <w:rPr>
      <w:sz w:val="20"/>
      <w:lang w:eastAsia="de-DE"/>
    </w:rPr>
  </w:style>
  <w:style w:type="paragraph" w:styleId="Inhaltsverzeichnis2">
    <w:name w:val="TOC 2"/>
    <w:basedOn w:val="Normal"/>
    <w:uiPriority w:val="39"/>
    <w:qFormat/>
    <w:pPr>
      <w:pBdr>
        <w:top w:val="single" w:sz="4" w:space="1" w:color="000000"/>
        <w:left w:val="single" w:sz="4" w:space="4" w:color="000000"/>
        <w:bottom w:val="single" w:sz="4" w:space="1" w:color="000000"/>
        <w:right w:val="single" w:sz="4" w:space="4" w:color="000000"/>
      </w:pBdr>
      <w:tabs>
        <w:tab w:val="clear" w:pos="720"/>
        <w:tab w:val="left" w:pos="1701" w:leader="none"/>
        <w:tab w:val="right" w:pos="9072" w:leader="none"/>
      </w:tabs>
      <w:ind w:left="567" w:right="567" w:firstLine="567"/>
    </w:pPr>
    <w:rPr>
      <w:b/>
      <w:sz w:val="16"/>
      <w:lang w:eastAsia="de-DE"/>
    </w:rPr>
  </w:style>
  <w:style w:type="paragraph" w:styleId="Inhaltsverzeichnis3">
    <w:name w:val="TOC 3"/>
    <w:basedOn w:val="Normal"/>
    <w:uiPriority w:val="39"/>
    <w:pPr>
      <w:pBdr>
        <w:top w:val="single" w:sz="4" w:space="1" w:color="000000"/>
        <w:left w:val="single" w:sz="4" w:space="4" w:color="000000"/>
        <w:bottom w:val="single" w:sz="4" w:space="1" w:color="000000"/>
        <w:right w:val="single" w:sz="4" w:space="4" w:color="000000"/>
      </w:pBdr>
      <w:tabs>
        <w:tab w:val="clear" w:pos="720"/>
        <w:tab w:val="left" w:pos="2268" w:leader="none"/>
        <w:tab w:val="right" w:pos="9072" w:leader="none"/>
      </w:tabs>
      <w:ind w:left="567" w:right="567" w:firstLine="1134"/>
    </w:pPr>
    <w:rPr>
      <w:sz w:val="16"/>
      <w:szCs w:val="16"/>
    </w:rPr>
  </w:style>
  <w:style w:type="paragraph" w:styleId="TextkrperZeileneinzug3" w:customStyle="1">
    <w:name w:val="Textkörper-Zeileneinzug 3"/>
    <w:basedOn w:val="EinzugTextkrper"/>
    <w:qFormat/>
    <w:pPr>
      <w:ind w:left="1701" w:hanging="0"/>
    </w:pPr>
    <w:rPr/>
  </w:style>
  <w:style w:type="paragraph" w:styleId="TextkrperZeileneinzug2" w:customStyle="1">
    <w:name w:val="Textkörper-Zeileneinzug 2"/>
    <w:basedOn w:val="EinzugTextkrper"/>
    <w:qFormat/>
    <w:pPr>
      <w:ind w:left="993" w:hanging="0"/>
    </w:pPr>
    <w:rPr/>
  </w:style>
  <w:style w:type="paragraph" w:styleId="Gruformel">
    <w:name w:val="Salutation"/>
    <w:basedOn w:val="Normal"/>
    <w:pPr>
      <w:spacing w:before="240" w:after="240"/>
    </w:pPr>
    <w:rPr>
      <w:lang w:eastAsia="de-DE"/>
    </w:rPr>
  </w:style>
  <w:style w:type="paragraph" w:styleId="Faxkopf" w:customStyle="1">
    <w:name w:val="Faxkopf"/>
    <w:basedOn w:val="Normal"/>
    <w:qFormat/>
    <w:pPr>
      <w:spacing w:before="240" w:after="60"/>
    </w:pPr>
    <w:rPr>
      <w:sz w:val="20"/>
      <w:lang w:val="de-AT" w:eastAsia="de-DE"/>
    </w:rPr>
  </w:style>
  <w:style w:type="paragraph" w:styleId="BalloonText">
    <w:name w:val="Balloon Text"/>
    <w:basedOn w:val="Normal"/>
    <w:qFormat/>
    <w:pPr/>
    <w:rPr>
      <w:rFonts w:ascii="Tahoma" w:hAnsi="Tahoma" w:cs="Tahoma"/>
      <w:sz w:val="16"/>
      <w:szCs w:val="16"/>
    </w:rPr>
  </w:style>
  <w:style w:type="paragraph" w:styleId="Titel">
    <w:name w:val="Title"/>
    <w:basedOn w:val="Normal"/>
    <w:qFormat/>
    <w:pPr>
      <w:spacing w:before="320" w:after="240"/>
      <w:contextualSpacing/>
      <w:jc w:val="center"/>
    </w:pPr>
    <w:rPr>
      <w:rFonts w:eastAsia="Arial" w:cs="Arial"/>
      <w:smallCaps/>
      <w:sz w:val="44"/>
      <w:szCs w:val="52"/>
      <w:lang w:val="de-AT"/>
    </w:rPr>
  </w:style>
  <w:style w:type="paragraph" w:styleId="Autor" w:customStyle="1">
    <w:name w:val="Autor"/>
    <w:basedOn w:val="Normal"/>
    <w:qFormat/>
    <w:pPr>
      <w:ind w:right="-1" w:hanging="0"/>
      <w:jc w:val="center"/>
    </w:pPr>
    <w:rPr>
      <w:sz w:val="22"/>
      <w:szCs w:val="22"/>
    </w:rPr>
  </w:style>
  <w:style w:type="paragraph" w:styleId="Quote">
    <w:name w:val="Quote"/>
    <w:basedOn w:val="Normal"/>
    <w:uiPriority w:val="29"/>
    <w:qFormat/>
    <w:pPr/>
    <w:rPr>
      <w:i/>
      <w:iCs/>
      <w:color w:val="000000" w:themeColor="text1"/>
    </w:rPr>
  </w:style>
  <w:style w:type="paragraph" w:styleId="Abstract" w:customStyle="1">
    <w:name w:val="Abstract"/>
    <w:basedOn w:val="Normal"/>
    <w:qFormat/>
    <w:pPr>
      <w:ind w:left="851" w:right="1132" w:hanging="0"/>
      <w:jc w:val="both"/>
    </w:pPr>
    <w:rPr>
      <w:i/>
    </w:rPr>
  </w:style>
  <w:style w:type="paragraph" w:styleId="Funote">
    <w:name w:val="Footnote Text"/>
    <w:basedOn w:val="Normal"/>
    <w:semiHidden/>
    <w:unhideWhenUsed/>
    <w:pPr/>
    <w:rPr>
      <w:sz w:val="20"/>
    </w:rPr>
  </w:style>
  <w:style w:type="paragraph" w:styleId="Bibliography">
    <w:name w:val="Bibliography"/>
    <w:basedOn w:val="Normal"/>
    <w:uiPriority w:val="37"/>
    <w:unhideWhenUsed/>
    <w:qFormat/>
    <w:pPr/>
    <w:rPr/>
  </w:style>
  <w:style w:type="paragraph" w:styleId="Code" w:customStyle="1">
    <w:name w:val="Code"/>
    <w:basedOn w:val="Textkrper"/>
    <w:qFormat/>
    <w:pPr>
      <w:pBdr>
        <w:top w:val="single" w:sz="4" w:space="1" w:color="000000"/>
        <w:left w:val="single" w:sz="4" w:space="4" w:color="000000"/>
        <w:bottom w:val="single" w:sz="4" w:space="1" w:color="000000"/>
        <w:right w:val="single" w:sz="4" w:space="4" w:color="000000"/>
      </w:pBdr>
      <w:ind w:left="567" w:right="565" w:hanging="0"/>
    </w:pPr>
    <w:rPr>
      <w:rFonts w:ascii="Courier New" w:hAnsi="Courier New" w:cs="Courier New"/>
    </w:rPr>
  </w:style>
  <w:style w:type="paragraph" w:styleId="Text" w:customStyle="1">
    <w:name w:val="Text"/>
    <w:qFormat/>
    <w:pPr>
      <w:widowControl/>
      <w:suppressAutoHyphens w:val="true"/>
      <w:bidi w:val="0"/>
      <w:spacing w:lineRule="auto" w:line="259" w:before="0" w:after="160"/>
      <w:jc w:val="both"/>
    </w:pPr>
    <w:rPr>
      <w:rFonts w:ascii="Arial" w:hAnsi="Arial" w:eastAsia="Arial" w:cs="Arial"/>
      <w:color w:val="auto"/>
      <w:kern w:val="0"/>
      <w:sz w:val="22"/>
      <w:szCs w:val="22"/>
      <w:lang w:val="de-DE" w:eastAsia="en-US" w:bidi="ar-SA"/>
    </w:rPr>
  </w:style>
  <w:style w:type="paragraph" w:styleId="Tabelleninhalt1" w:customStyle="1">
    <w:name w:val="Tabelleninhalt"/>
    <w:basedOn w:val="Normal"/>
    <w:qFormat/>
    <w:pPr>
      <w:widowControl w:val="false"/>
      <w:suppressLineNumbers/>
    </w:pPr>
    <w:rPr/>
  </w:style>
  <w:style w:type="paragraph" w:styleId="Tabellenberschrift1" w:customStyle="1">
    <w:name w:val="Tabellenüberschrift"/>
    <w:basedOn w:val="Tabelleninhalt1"/>
    <w:qFormat/>
    <w:pPr>
      <w:jc w:val="center"/>
    </w:pPr>
    <w:rPr>
      <w:b/>
      <w:bCs/>
    </w:rPr>
  </w:style>
  <w:style w:type="paragraph" w:styleId="Berschrift10" w:customStyle="1">
    <w:name w:val="Überschrift 10"/>
    <w:basedOn w:val="Berschrift"/>
    <w:qFormat/>
    <w:pPr>
      <w:spacing w:before="60" w:after="60"/>
      <w:outlineLvl w:val="8"/>
    </w:pPr>
    <w:rPr>
      <w:b/>
      <w:bCs/>
      <w:sz w:val="21"/>
      <w:szCs w:val="21"/>
    </w:rPr>
  </w:style>
  <w:style w:type="paragraph" w:styleId="Inhaltsverzeichnis4">
    <w:name w:val="TOC 4"/>
    <w:basedOn w:val="Verzeichnis"/>
    <w:pPr>
      <w:tabs>
        <w:tab w:val="clear" w:pos="720"/>
        <w:tab w:val="right" w:pos="8789" w:leader="dot"/>
      </w:tabs>
      <w:ind w:left="849" w:hanging="0"/>
    </w:pPr>
    <w:rPr/>
  </w:style>
  <w:style w:type="numbering" w:styleId="NoList" w:default="1">
    <w:name w:val="No List"/>
    <w:uiPriority w:val="99"/>
    <w:semiHidden/>
    <w:unhideWhenUsed/>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thomas.lenz@egiz.gv.at" TargetMode="External"/><Relationship Id="rId3" Type="http://schemas.openxmlformats.org/officeDocument/2006/relationships/hyperlink" Target="https://eid.oesterreich.gv.at/auth/idp/shibboleth" TargetMode="External"/><Relationship Id="rId4" Type="http://schemas.openxmlformats.org/officeDocument/2006/relationships/hyperlink" Target="https://eid2.oesterreich.gv.at/auth/idp/shibboleth" TargetMode="External"/><Relationship Id="rId5" Type="http://schemas.openxmlformats.org/officeDocument/2006/relationships/hyperlink" Target="https://eid.oesterreich.gv.at/authHandler/public/mis/info" TargetMode="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oleObject" Target="embeddings/oleObject1.bin"/><Relationship Id="rId2" Type="http://schemas.openxmlformats.org/officeDocument/2006/relationships/image" Target="media/image1.wmf"/><Relationship Id="rId3" Type="http://schemas.openxmlformats.org/officeDocument/2006/relationships/hyperlink" Target="http://www.a-sit.at/" TargetMode="External"/>
</Relationships>
</file>

<file path=word/theme/theme1.xml><?xml version="1.0" encoding="utf-8"?>
<a:theme xmlns:a="http://schemas.openxmlformats.org/drawingml/2006/main" xmlns:r="http://schemas.openxmlformats.org/officeDocument/2006/relationships" xmlns:p="http://schemas.openxmlformats.org/presentationml/2006/main" name="Larissa">
  <a:themeElements>
    <a:clrScheme name="Benutzerdefiniert 3">
      <a:dk1>
        <a:srgbClr val="000000"/>
      </a:dk1>
      <a:lt1>
        <a:srgbClr val="FFFFFF"/>
      </a:lt1>
      <a:dk2>
        <a:srgbClr val="005C79"/>
      </a:dk2>
      <a:lt2>
        <a:srgbClr val="808080"/>
      </a:lt2>
      <a:accent1>
        <a:srgbClr val="00CC99"/>
      </a:accent1>
      <a:accent2>
        <a:srgbClr val="3333CC"/>
      </a:accent2>
      <a:accent3>
        <a:srgbClr val="FFFFFF"/>
      </a:accent3>
      <a:accent4>
        <a:srgbClr val="000000"/>
      </a:accent4>
      <a:accent5>
        <a:srgbClr val="AAE2CA"/>
      </a:accent5>
      <a:accent6>
        <a:srgbClr val="2D2DB9"/>
      </a:accent6>
      <a:hlink>
        <a:srgbClr val="262699"/>
      </a:hlink>
      <a:folHlink>
        <a:srgbClr val="329369"/>
      </a:folHlink>
    </a:clrScheme>
    <a:fontScheme name="Benutzerdefiniert 1">
      <a:majorFont>
        <a:latin typeface="Arial"/>
        <a:ea typeface="Arial"/>
        <a:cs typeface="Arial"/>
      </a:majorFont>
      <a:minorFont>
        <a:latin typeface="Arial"/>
        <a:ea typeface="Arial"/>
        <a:cs typeface="Arial"/>
      </a:minorFont>
    </a:fontScheme>
    <a:fmtScheme name="Larissa">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w:settings xmlns:w="http://schemas.openxmlformats.org/wordprocessingml/2006/main">
  <w:SpecialFormsHighlight w:val="c9c8ff"/>
</w:settings>
</file>

<file path=customXml/itemProps1.xml><?xml version="1.0" encoding="utf-8"?>
<ds:datastoreItem xmlns:ds="http://schemas.openxmlformats.org/officeDocument/2006/customXml" ds:itemID="{5D0AEA6B-E499-4EEF-98A3-AFBB261C493E}">
  <ds:schemaRefs>
    <ds:schemaRef ds:uri="http://schemas.onlyoffice.com/settingsCustom"/>
  </ds:schemaRefs>
</ds:datastoreItem>
</file>

<file path=docProps/app.xml><?xml version="1.0" encoding="utf-8"?>
<Properties xmlns="http://schemas.openxmlformats.org/officeDocument/2006/extended-properties" xmlns:vt="http://schemas.openxmlformats.org/officeDocument/2006/docPropsVTypes">
  <Template>Normal.dotm</Template>
  <TotalTime>208</TotalTime>
  <Application>LibreOffice/7.3.7.2$Linux_X86_64 LibreOffice_project/30$Build-2</Application>
  <AppVersion>15.0000</AppVersion>
  <Pages>8</Pages>
  <Words>1984</Words>
  <Characters>17574</Characters>
  <CharactersWithSpaces>19215</CharactersWithSpaces>
  <Paragraphs>354</Paragraphs>
  <Company>IAIK</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2017-12-28T10:17:00Z</dcterms:created>
  <dc:creator/>
  <dc:description/>
  <dc:language>en-US</dc:language>
  <cp:lastModifiedBy>Thomas Lenz</cp:lastModifiedBy>
  <dcterms:modified xsi:type="dcterms:W3CDTF">2022-11-30T14:07:49Z</dcterms:modified>
  <cp:revision>121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